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ustom.xml" ContentType="application/vnd.openxmlformats-officedocument.custom-properties+xml"/>
  <Override PartName="/word/commentsIdsDocument.xml" ContentType="application/vnd.openxmlformats-officedocument.wordprocessingml.commentsIds+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Document.xml" ContentType="application/vnd.openxmlformats-officedocument.wordprocessingml.comments+xml"/>
  <Override PartName="/word/commentsExtended.xml" ContentType="application/vnd.openxmlformats-officedocument.wordprocessingml.commentsExtended+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Override PartName="/word/fontTable.xml" ContentType="application/vnd.openxmlformats-officedocument.wordprocessingml.fontTable+xml"/>
  <Override PartName="/word/comments.xml" ContentType="application/vnd.openxmlformats-officedocument.wordprocessingml.comments+xml"/>
  <Override PartName="/word/commentsExtendedDocument.xml" ContentType="application/vnd.openxmlformats-officedocument.wordprocessingml.commentsExtended+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pacing/>
        <w:ind/>
        <w:jc w:val="center"/>
        <w:rPr>
          <w:b/>
          <w:sz w:val="10"/>
          <w:szCs w:val="10"/>
        </w:rPr>
      </w:pPr>
      <w:r>
        <w:rPr>
          <w:b/>
          <w:sz w:val="72"/>
          <w:szCs w:val="72"/>
          <w:rtl w:val="0"/>
        </w:rPr>
        <w:t xml:space="preserve"> FICHE ACTION VNE N°6</w:t>
      </w:r>
      <w:r>
        <w:rPr>
          <w:b/>
          <w:sz w:val="10"/>
          <w:szCs w:val="10"/>
        </w:rPr>
      </w:r>
      <w:r>
        <w:rPr>
          <w:b/>
          <w:sz w:val="10"/>
          <w:szCs w:val="10"/>
        </w:rPr>
      </w:r>
    </w:p>
    <w:tbl>
      <w:tblPr>
        <w:tblStyle w:val="909"/>
        <w:tblW w:w="11220" w:type="dxa"/>
        <w:tblInd w:w="-113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3000"/>
        <w:gridCol w:w="2970"/>
        <w:gridCol w:w="2655"/>
        <w:gridCol w:w="2595"/>
        <w:tblGridChange w:id="0">
          <w:tblGrid>
            <w:gridCol w:w="3000"/>
            <w:gridCol w:w="2970"/>
            <w:gridCol w:w="2655"/>
            <w:gridCol w:w="2595"/>
          </w:tblGrid>
        </w:tblGridChange>
      </w:tblGrid>
      <w:tr>
        <w:trPr>
          <w:cantSplit w:val="false"/>
          <w:trHeight w:val="510"/>
        </w:trPr>
        <w:tc>
          <w:tcPr>
            <w:tcBorders/>
            <w:vAlign w:val="center"/>
            <w:textDirection w:val="lrTb"/>
            <w:noWrap w:val="false"/>
          </w:tcPr>
          <w:p>
            <w:pPr>
              <w:pBdr/>
              <w:spacing w:after="0" w:before="0" w:line="240" w:lineRule="auto"/>
              <w:ind/>
              <w:rPr/>
            </w:pPr>
            <w:r>
              <w:rPr>
                <w:b/>
                <w:sz w:val="24"/>
                <w:szCs w:val="24"/>
                <w:rtl w:val="0"/>
              </w:rPr>
              <w:t xml:space="preserve">ENJEUX</w:t>
            </w:r>
            <w:r>
              <w:rPr>
                <w:rtl w:val="0"/>
              </w:rPr>
            </w:r>
            <w:r/>
          </w:p>
        </w:tc>
        <w:tc>
          <w:tcPr>
            <w:tcBorders/>
            <w:vAlign w:val="center"/>
            <w:textDirection w:val="lrTb"/>
            <w:noWrap w:val="false"/>
          </w:tcPr>
          <w:p>
            <w:pPr>
              <w:pBdr/>
              <w:spacing w:after="0" w:before="0" w:line="240" w:lineRule="auto"/>
              <w:ind/>
              <w:rPr>
                <w:sz w:val="20"/>
                <w:szCs w:val="20"/>
              </w:rPr>
            </w:pPr>
            <w:r/>
            <w:bookmarkStart w:id="0" w:name="_n33g5qsgodkw"/>
            <w:r/>
            <w:bookmarkEnd w:id="0"/>
            <w:r>
              <w:rPr>
                <w:sz w:val="20"/>
                <w:szCs w:val="20"/>
              </w:rPr>
              <mc:AlternateContent>
                <mc:Choice Requires="wpg">
                  <w:drawing>
                    <wp:inline xmlns:wp="http://schemas.openxmlformats.org/drawingml/2006/wordprocessingDrawing" distT="0" distB="0" distL="0" distR="0">
                      <wp:extent cx="540000" cy="5400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ic:nvPr/>
                            </pic:nvPicPr>
                            <pic:blipFill>
                              <a:blip r:embed="rId9"/>
                              <a:srcRect l="0" t="0" r="0" b="0"/>
                              <a:stretch/>
                            </pic:blipFill>
                            <pic:spPr bwMode="auto">
                              <a:xfrm>
                                <a:off x="0" y="0"/>
                                <a:ext cx="540000" cy="540000"/>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42.52pt;height:42.52pt;mso-wrap-distance-left:0.00pt;mso-wrap-distance-top:0.00pt;mso-wrap-distance-right:0.00pt;mso-wrap-distance-bottom:0.00pt;z-index:1;">
                      <v:imagedata r:id="rId9" o:title="" croptop="0f" cropleft="0f" cropbottom="0f" cropright="0f"/>
                      <o:lock v:ext="edit" rotation="t"/>
                    </v:shape>
                  </w:pict>
                </mc:Fallback>
              </mc:AlternateContent>
            </w:r>
            <w:r>
              <w:rPr>
                <w:sz w:val="20"/>
                <w:szCs w:val="20"/>
              </w:rPr>
            </w:r>
            <w:r>
              <w:rPr>
                <w:sz w:val="20"/>
                <w:szCs w:val="20"/>
              </w:rPr>
            </w:r>
          </w:p>
        </w:tc>
        <w:tc>
          <w:tcPr>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firstLine="0" w:left="0"/>
              <w:jc w:val="left"/>
              <w:rPr>
                <w:b/>
              </w:rPr>
            </w:pPr>
            <w:r>
              <w:rPr>
                <w:b/>
                <w:rtl w:val="0"/>
              </w:rPr>
              <w:t xml:space="preserve">AXES STRATÉGIQUES</w:t>
            </w:r>
            <w:r>
              <w:rPr>
                <w:b/>
              </w:rPr>
            </w:r>
            <w:r>
              <w:rPr>
                <w:b/>
              </w:rPr>
            </w:r>
          </w:p>
        </w:tc>
        <w:tc>
          <w:tcPr>
            <w:tcBorders/>
            <w:vAlign w:val="center"/>
            <w:textDirection w:val="lrTb"/>
            <w:noWrap w:val="false"/>
          </w:tcPr>
          <w:p>
            <w:pPr>
              <w:keepNext w:val="false"/>
              <w:keepLines w:val="false"/>
              <w:pageBreakBefore w:val="false"/>
              <w:widowControl w:val="false"/>
              <w:numPr>
                <w:ilvl w:val="0"/>
                <w:numId w:val="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hanging="360" w:left="720"/>
              <w:jc w:val="left"/>
              <w:rPr>
                <w:shd w:val="clear" w:color="auto" w:fill="e63946"/>
              </w:rPr>
            </w:pPr>
            <w:r>
              <w:rPr>
                <w:shd w:val="clear" w:color="auto" w:fill="e63946"/>
                <w:rtl w:val="0"/>
              </w:rPr>
              <w:t xml:space="preserve">AXE I</w:t>
            </w:r>
            <w:r>
              <w:rPr>
                <w:shd w:val="clear" w:color="auto" w:fill="e63946"/>
              </w:rPr>
            </w:r>
            <w:r>
              <w:rPr>
                <w:shd w:val="clear" w:color="auto" w:fill="e63946"/>
              </w:rPr>
            </w:r>
          </w:p>
          <w:p>
            <w:pPr>
              <w:keepNext w:val="false"/>
              <w:keepLines w:val="false"/>
              <w:pageBreakBefore w:val="false"/>
              <w:widowControl w:val="false"/>
              <w:numPr>
                <w:ilvl w:val="0"/>
                <w:numId w:val="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hanging="360" w:left="720"/>
              <w:jc w:val="left"/>
              <w:rPr>
                <w:shd w:val="clear" w:color="auto" w:fill="457b9d"/>
              </w:rPr>
            </w:pPr>
            <w:r>
              <w:rPr>
                <w:shd w:val="clear" w:color="auto" w:fill="457b9d"/>
                <w:rtl w:val="0"/>
              </w:rPr>
              <w:t xml:space="preserve">AXE II</w:t>
            </w:r>
            <w:r>
              <w:rPr>
                <w:shd w:val="clear" w:color="auto" w:fill="457b9d"/>
              </w:rPr>
            </w:r>
            <w:r>
              <w:rPr>
                <w:shd w:val="clear" w:color="auto" w:fill="457b9d"/>
              </w:rPr>
            </w:r>
          </w:p>
          <w:p>
            <w:pPr>
              <w:keepNext w:val="false"/>
              <w:keepLines w:val="false"/>
              <w:pageBreakBefore w:val="false"/>
              <w:widowControl w:val="false"/>
              <w:numPr>
                <w:ilvl w:val="0"/>
                <w:numId w:val="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hanging="360" w:left="720"/>
              <w:jc w:val="left"/>
              <w:rPr>
                <w:shd w:val="clear" w:color="auto" w:fill="f1c40f"/>
              </w:rPr>
            </w:pPr>
            <w:r>
              <w:rPr>
                <w:shd w:val="clear" w:color="auto" w:fill="f1c40f"/>
                <w:rtl w:val="0"/>
              </w:rPr>
              <w:t xml:space="preserve">AXE III</w:t>
            </w:r>
            <w:r>
              <w:rPr>
                <w:shd w:val="clear" w:color="auto" w:fill="f1c40f"/>
              </w:rPr>
            </w:r>
            <w:r>
              <w:rPr>
                <w:shd w:val="clear" w:color="auto" w:fill="f1c40f"/>
              </w:rPr>
            </w:r>
            <w:r>
              <w:rPr>
                <w:shd w:val="clear" w:color="auto" w:fill="b497d6"/>
                <w:rtl w:val="0"/>
              </w:rPr>
            </w:r>
            <w:r>
              <w:rPr>
                <w:shd w:val="clear" w:color="auto" w:fill="b497d6"/>
              </w:rPr>
            </w:r>
            <w:r>
              <w:rPr>
                <w:shd w:val="clear" w:color="auto" w:fill="f1c40f"/>
              </w:rPr>
            </w:r>
          </w:p>
        </w:tc>
      </w:tr>
      <w:tr>
        <w:trPr>
          <w:cantSplit w:val="false"/>
          <w:trHeight w:val="510"/>
        </w:trPr>
        <w:tc>
          <w:tcPr>
            <w:shd w:val="clear" w:color="auto" w:fill="b6d7a8"/>
            <w:tcBorders/>
            <w:vAlign w:val="center"/>
            <w:textDirection w:val="lrTb"/>
            <w:noWrap w:val="false"/>
          </w:tcPr>
          <w:p>
            <w:pPr>
              <w:pBdr/>
              <w:spacing/>
              <w:ind/>
              <w:rPr>
                <w:b/>
                <w:sz w:val="24"/>
                <w:szCs w:val="24"/>
              </w:rPr>
            </w:pPr>
            <w:r>
              <w:rPr>
                <w:b/>
                <w:sz w:val="24"/>
                <w:szCs w:val="24"/>
                <w:rtl w:val="0"/>
              </w:rPr>
              <w:t xml:space="preserve">ÉTAT D’AVANCEMENT</w:t>
            </w:r>
            <w:r>
              <w:rPr>
                <w:b/>
                <w:sz w:val="24"/>
                <w:szCs w:val="24"/>
              </w:rPr>
            </w:r>
            <w:r>
              <w:rPr>
                <w:b/>
                <w:sz w:val="24"/>
                <w:szCs w:val="24"/>
              </w:rPr>
            </w:r>
          </w:p>
        </w:tc>
        <w:tc>
          <w:tcPr>
            <w:gridSpan w:val="3"/>
            <w:shd w:val="clear" w:color="auto" w:fill="b6d7a8"/>
            <w:tcBorders/>
            <w:vAlign w:val="center"/>
            <w:textDirection w:val="lrTb"/>
            <w:noWrap w:val="false"/>
          </w:tcPr>
          <w:p>
            <w:pPr>
              <w:pBdr/>
              <w:spacing/>
              <w:ind/>
              <w:rPr/>
            </w:pPr>
            <w:r>
              <w:rPr>
                <w:rtl w:val="0"/>
              </w:rPr>
              <w:t xml:space="preserve">Fiche peut être redondante avec 9</w:t>
            </w:r>
            <w:r/>
          </w:p>
        </w:tc>
      </w:tr>
      <w:tr>
        <w:trPr>
          <w:cantSplit w:val="false"/>
          <w:trHeight w:val="510"/>
        </w:trPr>
        <w:tc>
          <w:tcPr>
            <w:shd w:val="clear" w:color="auto" w:fill="b497d6"/>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NOM DE LA FICHE</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b497d6"/>
            <w:tcBorders/>
            <w:vAlign w:val="center"/>
            <w:textDirection w:val="lrTb"/>
            <w:noWrap w:val="false"/>
          </w:tcPr>
          <w:p>
            <w:pPr>
              <w:pBdr/>
              <w:spacing w:after="0" w:before="0" w:line="240" w:lineRule="auto"/>
              <w:ind/>
              <w:rPr/>
            </w:pPr>
            <w:r>
              <w:rPr>
                <w:rtl w:val="0"/>
              </w:rPr>
              <w:t xml:space="preserve">Assurer l'information des médiateurs numériques sur les offres de formation</w:t>
            </w:r>
            <w:r/>
          </w:p>
        </w:tc>
      </w:tr>
      <w:tr>
        <w:trPr>
          <w:cantSplit w:val="false"/>
          <w:trHeight w:val="51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PILOTE(S) / PORTEUR(S)</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La Région dans le cadre de sa compétence formation professionnelle?</w:t>
            </w:r>
            <w:r/>
          </w:p>
          <w:p>
            <w:pPr>
              <w:pBdr/>
              <w:spacing w:after="0" w:before="0" w:line="240" w:lineRule="auto"/>
              <w:ind/>
              <w:rPr/>
            </w:pPr>
            <w:r>
              <w:rPr>
                <w:rtl w:val="0"/>
              </w:rPr>
              <w:t xml:space="preserve">ou </w:t>
            </w:r>
            <w:r/>
          </w:p>
          <w:p>
            <w:pPr>
              <w:pBdr/>
              <w:spacing w:after="0" w:before="0" w:line="240" w:lineRule="auto"/>
              <w:ind/>
              <w:rPr/>
            </w:pPr>
            <w:r>
              <w:rPr>
                <w:rtl w:val="0"/>
              </w:rPr>
              <w:t xml:space="preserve">Le coordinateur conum?</w:t>
            </w:r>
            <w:r>
              <w:rPr>
                <w:rtl w:val="0"/>
              </w:rPr>
            </w:r>
            <w:r/>
          </w:p>
        </w:tc>
      </w:tr>
      <w:tr>
        <w:trPr>
          <w:cantSplit w:val="false"/>
          <w:trHeight w:val="510"/>
        </w:trPr>
        <w:tc>
          <w:tcPr>
            <w:shd w:val="clear" w:color="auto" w:fill="auto"/>
            <w:tcBorders/>
            <w:vAlign w:val="center"/>
            <w:textDirection w:val="lrTb"/>
            <w:noWrap w:val="false"/>
          </w:tcPr>
          <w:p>
            <w:pPr>
              <w:pBdr/>
              <w:spacing/>
              <w:ind/>
              <w:rPr>
                <w:b/>
                <w:sz w:val="24"/>
                <w:szCs w:val="24"/>
              </w:rPr>
            </w:pPr>
            <w:r>
              <w:rPr>
                <w:b/>
                <w:sz w:val="24"/>
                <w:szCs w:val="24"/>
                <w:rtl w:val="0"/>
              </w:rPr>
              <w:t xml:space="preserve">SUPPORTS/PARTENAIRES/ PRESTATAIRES</w:t>
            </w:r>
            <w:r>
              <w:rPr>
                <w:b/>
                <w:sz w:val="24"/>
                <w:szCs w:val="24"/>
              </w:rPr>
            </w:r>
            <w:r>
              <w:rPr>
                <w:b/>
                <w:sz w:val="24"/>
                <w:szCs w:val="24"/>
              </w:rPr>
            </w:r>
          </w:p>
        </w:tc>
        <w:tc>
          <w:tcPr>
            <w:gridSpan w:val="3"/>
            <w:shd w:val="clear" w:color="auto" w:fill="auto"/>
            <w:tcBorders/>
            <w:vAlign w:val="center"/>
            <w:textDirection w:val="lrTb"/>
            <w:noWrap w:val="false"/>
          </w:tcPr>
          <w:p>
            <w:pPr>
              <w:pBdr/>
              <w:spacing/>
              <w:ind/>
              <w:rPr/>
            </w:pPr>
            <w:r>
              <w:rPr>
                <w:rtl w:val="0"/>
              </w:rPr>
              <w:t xml:space="preserve">Hub du Sud</w:t>
            </w:r>
            <w:r/>
          </w:p>
          <w:p>
            <w:pPr>
              <w:pBdr/>
              <w:spacing/>
              <w:ind/>
              <w:rPr/>
            </w:pPr>
            <w:r>
              <w:rPr>
                <w:rtl w:val="0"/>
              </w:rPr>
              <w:t xml:space="preserve">Coordinateur CoNum</w:t>
            </w:r>
            <w:r/>
          </w:p>
          <w:p>
            <w:pPr>
              <w:pBdr/>
              <w:spacing/>
              <w:ind/>
              <w:rPr/>
            </w:pPr>
            <w:r>
              <w:rPr>
                <w:rtl w:val="0"/>
              </w:rPr>
              <w:t xml:space="preserve">Mode 83</w:t>
            </w:r>
            <w:r/>
          </w:p>
        </w:tc>
      </w:tr>
      <w:tr>
        <w:trPr>
          <w:cantSplit w:val="false"/>
          <w:trHeight w:val="510"/>
        </w:trPr>
        <w:tc>
          <w:tcPr>
            <w:shd w:val="clear" w:color="auto" w:fill="auto"/>
            <w:tcBorders/>
            <w:vAlign w:val="center"/>
            <w:textDirection w:val="lrTb"/>
            <w:noWrap w:val="false"/>
          </w:tcPr>
          <w:p>
            <w:pPr>
              <w:pBdr/>
              <w:spacing/>
              <w:ind/>
              <w:rPr>
                <w:b/>
                <w:sz w:val="24"/>
                <w:szCs w:val="24"/>
              </w:rPr>
            </w:pPr>
            <w:r>
              <w:rPr>
                <w:b/>
                <w:sz w:val="24"/>
                <w:szCs w:val="24"/>
                <w:rtl w:val="0"/>
              </w:rPr>
              <w:t xml:space="preserve">CONTRIBUTEURS/ACTEURS</w:t>
            </w:r>
            <w:r>
              <w:rPr>
                <w:b/>
                <w:sz w:val="24"/>
                <w:szCs w:val="24"/>
              </w:rPr>
            </w:r>
            <w:r>
              <w:rPr>
                <w:b/>
                <w:sz w:val="24"/>
                <w:szCs w:val="24"/>
              </w:rPr>
            </w:r>
          </w:p>
        </w:tc>
        <w:tc>
          <w:tcPr>
            <w:gridSpan w:val="3"/>
            <w:shd w:val="clear" w:color="auto" w:fill="auto"/>
            <w:tcBorders/>
            <w:textDirection w:val="lrTb"/>
            <w:noWrap w:val="false"/>
          </w:tcPr>
          <w:p>
            <w:pPr>
              <w:pBdr/>
              <w:spacing/>
              <w:ind/>
              <w:rPr/>
            </w:pPr>
            <w:r>
              <w:rPr>
                <w:rtl w:val="0"/>
              </w:rPr>
              <w:t xml:space="preserve">CoNum, </w:t>
            </w:r>
            <w:r>
              <w:rPr>
                <w:rtl w:val="0"/>
              </w:rPr>
              <w:t xml:space="preserve">médiateurs numériques du département</w:t>
            </w:r>
            <w:r>
              <w:rPr>
                <w:rtl w:val="0"/>
              </w:rPr>
              <w:t xml:space="preserve">, autres organismes de formation</w:t>
            </w:r>
            <w:r/>
          </w:p>
        </w:tc>
      </w:tr>
      <w:tr>
        <w:trPr>
          <w:cantSplit w:val="false"/>
          <w:trHeight w:val="510"/>
        </w:trPr>
        <w:tc>
          <w:tcPr>
            <w:shd w:val="clear" w:color="auto" w:fill="auto"/>
            <w:tcBorders/>
            <w:vAlign w:val="center"/>
            <w:textDirection w:val="lrTb"/>
            <w:noWrap w:val="false"/>
          </w:tcPr>
          <w:p>
            <w:pPr>
              <w:pBdr/>
              <w:spacing w:after="0" w:before="0" w:line="240" w:lineRule="auto"/>
              <w:ind/>
              <w:rPr/>
            </w:pPr>
            <w:r>
              <w:rPr>
                <w:b/>
                <w:sz w:val="24"/>
                <w:szCs w:val="24"/>
                <w:rtl w:val="0"/>
              </w:rPr>
              <w:t xml:space="preserve">ACTION</w:t>
            </w:r>
            <w:r>
              <w:rPr>
                <w:rtl w:val="0"/>
              </w:rPr>
            </w:r>
            <w:r/>
          </w:p>
        </w:tc>
        <w:tc>
          <w:tcPr>
            <w:shd w:val="clear" w:color="auto" w:fill="auto"/>
            <w:tcBorders/>
            <w:vAlign w:val="center"/>
            <w:textDirection w:val="lrTb"/>
            <w:noWrap w:val="false"/>
          </w:tcPr>
          <w:p>
            <w:pPr>
              <w:numPr>
                <w:ilvl w:val="0"/>
                <w:numId w:val="5"/>
              </w:numPr>
              <w:pBdr/>
              <w:spacing w:after="0" w:before="0" w:line="240" w:lineRule="auto"/>
              <w:ind w:hanging="360" w:left="720"/>
              <w:rPr>
                <w:sz w:val="24"/>
                <w:szCs w:val="24"/>
                <w:u w:val="none"/>
              </w:rPr>
            </w:pPr>
            <w:r>
              <w:rPr>
                <w:sz w:val="24"/>
                <w:szCs w:val="24"/>
                <w:rtl w:val="0"/>
              </w:rPr>
              <w:t xml:space="preserve">NOUVELLE</w:t>
            </w:r>
            <w:r>
              <w:rPr>
                <w:sz w:val="24"/>
                <w:szCs w:val="24"/>
                <w:u w:val="none"/>
              </w:rPr>
            </w:r>
            <w:r>
              <w:rPr>
                <w:sz w:val="24"/>
                <w:szCs w:val="24"/>
                <w:u w:val="none"/>
              </w:rPr>
            </w:r>
          </w:p>
        </w:tc>
        <w:tc>
          <w:tcPr>
            <w:shd w:val="clear" w:color="auto" w:fill="auto"/>
            <w:tcBorders/>
            <w:vAlign w:val="center"/>
            <w:textDirection w:val="lrTb"/>
            <w:noWrap w:val="false"/>
          </w:tcPr>
          <w:p>
            <w:pPr>
              <w:numPr>
                <w:ilvl w:val="0"/>
                <w:numId w:val="1"/>
              </w:numPr>
              <w:pBdr/>
              <w:spacing w:after="0" w:before="0" w:line="240" w:lineRule="auto"/>
              <w:ind w:hanging="360" w:left="720"/>
              <w:rPr>
                <w:sz w:val="24"/>
                <w:szCs w:val="24"/>
                <w:u w:val="none"/>
              </w:rPr>
            </w:pPr>
            <w:r>
              <w:rPr>
                <w:sz w:val="24"/>
                <w:szCs w:val="24"/>
                <w:rtl w:val="0"/>
              </w:rPr>
              <w:t xml:space="preserve">EN COURS D’ÉLABORATION</w:t>
            </w:r>
            <w:r>
              <w:rPr>
                <w:sz w:val="24"/>
                <w:szCs w:val="24"/>
                <w:u w:val="none"/>
              </w:rPr>
            </w:r>
            <w:r>
              <w:rPr>
                <w:sz w:val="24"/>
                <w:szCs w:val="24"/>
                <w:u w:val="none"/>
              </w:rPr>
            </w:r>
          </w:p>
        </w:tc>
        <w:tc>
          <w:tcPr>
            <w:shd w:val="clear" w:color="auto" w:fill="auto"/>
            <w:tcBorders/>
            <w:vAlign w:val="center"/>
            <w:textDirection w:val="lrTb"/>
            <w:noWrap w:val="false"/>
          </w:tcPr>
          <w:p>
            <w:pPr>
              <w:numPr>
                <w:ilvl w:val="0"/>
                <w:numId w:val="1"/>
              </w:numPr>
              <w:pBdr/>
              <w:spacing/>
              <w:ind w:hanging="360" w:left="720"/>
              <w:rPr>
                <w:sz w:val="24"/>
                <w:szCs w:val="24"/>
              </w:rPr>
            </w:pPr>
            <w:r>
              <w:rPr>
                <w:sz w:val="24"/>
                <w:szCs w:val="24"/>
                <w:rtl w:val="0"/>
              </w:rPr>
              <w:t xml:space="preserve">DÉJÀ ENGAGÉE</w:t>
            </w:r>
            <w:r>
              <w:rPr>
                <w:sz w:val="24"/>
                <w:szCs w:val="24"/>
              </w:rPr>
            </w:r>
            <w:r>
              <w:rPr>
                <w:sz w:val="24"/>
                <w:szCs w:val="24"/>
              </w:rPr>
            </w:r>
          </w:p>
        </w:tc>
      </w:tr>
      <w:tr>
        <w:trPr>
          <w:cantSplit w:val="false"/>
          <w:trHeight w:val="1043"/>
        </w:trPr>
        <w:tc>
          <w:tcPr>
            <w:shd w:val="clear" w:color="auto" w:fill="auto"/>
            <w:tcBorders/>
            <w:vAlign w:val="center"/>
            <w:vMerge w:val="restart"/>
            <w:textDirection w:val="lrTb"/>
            <w:noWrap w:val="false"/>
          </w:tcPr>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b/>
                <w:sz w:val="24"/>
                <w:szCs w:val="24"/>
                <w:rtl w:val="0"/>
              </w:rPr>
              <w:t xml:space="preserve">DIAGNOSTIC</w:t>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pBdr/>
              <w:spacing w:after="0" w:before="0" w:line="240" w:lineRule="auto"/>
              <w:ind/>
              <w:rPr>
                <w:rFonts w:ascii="Calibri" w:hAnsi="Calibri" w:eastAsia="Calibri" w:cs="Calibri"/>
                <w:sz w:val="24"/>
                <w:szCs w:val="24"/>
              </w:rPr>
            </w:pPr>
            <w:r>
              <w:rPr>
                <w:sz w:val="24"/>
                <w:szCs w:val="24"/>
                <w:rtl w:val="0"/>
              </w:rPr>
              <w:t xml:space="preserve">CONSTATS</w:t>
            </w:r>
            <w:r>
              <w:rPr>
                <w:rFonts w:ascii="Calibri" w:hAnsi="Calibri" w:eastAsia="Calibri" w:cs="Calibri"/>
                <w:sz w:val="24"/>
                <w:szCs w:val="24"/>
              </w:rPr>
            </w:r>
            <w:r>
              <w:rPr>
                <w:rFonts w:ascii="Calibri" w:hAnsi="Calibri" w:eastAsia="Calibri" w:cs="Calibri"/>
                <w:sz w:val="24"/>
                <w:szCs w:val="24"/>
              </w:rPr>
            </w:r>
          </w:p>
        </w:tc>
        <w:tc>
          <w:tcPr>
            <w:gridSpan w:val="2"/>
            <w:shd w:val="clear" w:color="auto" w:fill="auto"/>
            <w:tcBorders/>
            <w:vAlign w:val="center"/>
            <w:textDirection w:val="lrTb"/>
            <w:noWrap w:val="false"/>
          </w:tcPr>
          <w:p>
            <w:pPr>
              <w:pBdr/>
              <w:spacing w:after="0" w:before="0" w:line="240" w:lineRule="auto"/>
              <w:ind/>
              <w:jc w:val="both"/>
              <w:rPr/>
            </w:pPr>
            <w:r>
              <w:rPr>
                <w:rtl w:val="0"/>
              </w:rPr>
              <w:t xml:space="preserve">Les CoNum e</w:t>
            </w:r>
            <w:r>
              <w:rPr>
                <w:rtl w:val="0"/>
              </w:rPr>
              <w:t xml:space="preserve">t médiateurs numériques doivent constamment faire évoluer leur pratique pour rester à niveau dans un domaine qui évolue rapidement. De nombreuses formations et MOOC existent aujourd’hui pour permettre à ces professionnels de se maintenir à jour et évoluer </w:t>
            </w:r>
            <w:r>
              <w:rPr>
                <w:rtl w:val="0"/>
              </w:rPr>
              <w:t xml:space="preserve">professionnellement</w:t>
            </w:r>
            <w:r>
              <w:rPr>
                <w:rtl w:val="0"/>
              </w:rPr>
              <w:t xml:space="preserve"> à travers une formation diplômante.</w:t>
            </w:r>
            <w:r/>
          </w:p>
          <w:p>
            <w:pPr>
              <w:pBdr/>
              <w:spacing w:after="0" w:before="0" w:line="240" w:lineRule="auto"/>
              <w:ind/>
              <w:jc w:val="both"/>
              <w:rPr/>
            </w:pPr>
            <w:r>
              <w:rPr>
                <w:rtl w:val="0"/>
              </w:rPr>
              <w:t xml:space="preserve">Certains dispositifs existent pour financer, au moins partiellement, des formations.</w:t>
            </w:r>
            <w:r/>
          </w:p>
        </w:tc>
      </w:tr>
      <w:tr>
        <w:trPr>
          <w:cantSplit w:val="false"/>
          <w:trHeight w:val="912"/>
        </w:trPr>
        <w:tc>
          <w:tcPr>
            <w:shd w:val="clear" w:color="auto" w:fill="auto"/>
            <w:tcBorders/>
            <w:vAlign w:val="center"/>
            <w:vMerge w:val="continue"/>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firstLine="0" w:left="0"/>
              <w:jc w:val="left"/>
              <w:rPr/>
            </w:pPr>
            <w:r>
              <w:rPr>
                <w:rtl w:val="0"/>
              </w:rPr>
            </w:r>
            <w:r/>
          </w:p>
        </w:tc>
        <w:tc>
          <w:tcPr>
            <w:shd w:val="clear" w:color="auto" w:fill="auto"/>
            <w:tcBorders/>
            <w:vAlign w:val="center"/>
            <w:textDirection w:val="lrTb"/>
            <w:noWrap w:val="false"/>
          </w:tcPr>
          <w:p>
            <w:pPr>
              <w:pBdr/>
              <w:spacing w:after="0" w:before="0" w:line="240" w:lineRule="auto"/>
              <w:ind/>
              <w:rPr/>
            </w:pPr>
            <w:r>
              <w:rPr>
                <w:sz w:val="24"/>
                <w:szCs w:val="24"/>
                <w:rtl w:val="0"/>
              </w:rPr>
              <w:t xml:space="preserve">ENJEUX</w:t>
            </w:r>
            <w:r>
              <w:rPr>
                <w:rtl w:val="0"/>
              </w:rPr>
            </w:r>
            <w:r/>
          </w:p>
        </w:tc>
        <w:tc>
          <w:tcPr>
            <w:gridSpan w:val="2"/>
            <w:shd w:val="clear" w:color="auto" w:fill="auto"/>
            <w:tcBorders/>
            <w:vAlign w:val="center"/>
            <w:textDirection w:val="lrTb"/>
            <w:noWrap w:val="false"/>
          </w:tcPr>
          <w:p>
            <w:pPr>
              <w:pBdr/>
              <w:spacing w:after="0" w:before="0" w:line="240" w:lineRule="auto"/>
              <w:ind/>
              <w:jc w:val="left"/>
              <w:rPr/>
            </w:pPr>
            <w:r>
              <w:rPr>
                <w:rtl w:val="0"/>
              </w:rPr>
              <w:t xml:space="preserve">À travers une veille des formations disponibles, faciliter l’accès aux formations à tous les médiateurs numériques en communiquant sur ce qui est disponible et les éventuelles modalités de financement et des retours d’expérience.</w:t>
            </w:r>
            <w:r/>
          </w:p>
        </w:tc>
      </w:tr>
      <w:tr>
        <w:trPr>
          <w:cantSplit w:val="false"/>
          <w:trHeight w:val="836"/>
        </w:trPr>
        <w:tc>
          <w:tcPr>
            <w:shd w:val="clear" w:color="auto" w:fill="auto"/>
            <w:tcBorders/>
            <w:vAlign w:val="center"/>
            <w:vMerge w:val="restart"/>
            <w:textDirection w:val="lrTb"/>
            <w:noWrap w:val="false"/>
          </w:tcPr>
          <w:p>
            <w:pPr>
              <w:widowControl w:val="false"/>
              <w:pBdr/>
              <w:spacing w:line="276" w:lineRule="auto"/>
              <w:ind/>
              <w:rPr>
                <w:b/>
              </w:rPr>
            </w:pPr>
            <w:r>
              <w:rPr>
                <w:b/>
                <w:rtl w:val="0"/>
              </w:rPr>
              <w:t xml:space="preserve">RÉPONSE À DEMANDE</w:t>
            </w:r>
            <w:r>
              <w:rPr>
                <w:b/>
              </w:rPr>
            </w:r>
            <w:r>
              <w:rPr>
                <w:b/>
              </w:rPr>
            </w:r>
          </w:p>
        </w:tc>
        <w:tc>
          <w:tcPr>
            <w:shd w:val="clear" w:color="auto" w:fill="auto"/>
            <w:tcBorders/>
            <w:vAlign w:val="center"/>
            <w:textDirection w:val="lrTb"/>
            <w:noWrap w:val="false"/>
          </w:tcPr>
          <w:p>
            <w:pPr>
              <w:pBdr/>
              <w:spacing/>
              <w:ind/>
              <w:rPr>
                <w:sz w:val="24"/>
                <w:szCs w:val="24"/>
              </w:rPr>
            </w:pPr>
            <w:r>
              <w:rPr>
                <w:sz w:val="24"/>
                <w:szCs w:val="24"/>
                <w:rtl w:val="0"/>
              </w:rPr>
              <w:t xml:space="preserve">FNE</w:t>
            </w:r>
            <w:r>
              <w:rPr>
                <w:sz w:val="24"/>
                <w:szCs w:val="24"/>
              </w:rPr>
            </w:r>
            <w:r>
              <w:rPr>
                <w:sz w:val="24"/>
                <w:szCs w:val="24"/>
              </w:rPr>
            </w:r>
          </w:p>
        </w:tc>
        <w:tc>
          <w:tcPr>
            <w:gridSpan w:val="2"/>
            <w:shd w:val="clear" w:color="auto" w:fill="auto"/>
            <w:tcBorders/>
            <w:vAlign w:val="center"/>
            <w:textDirection w:val="lrTb"/>
            <w:noWrap w:val="false"/>
          </w:tcPr>
          <w:p>
            <w:pPr>
              <w:pBdr/>
              <w:spacing/>
              <w:ind/>
              <w:jc w:val="both"/>
              <w:rPr/>
            </w:pPr>
            <w:r>
              <w:rPr>
                <w:rtl w:val="0"/>
              </w:rPr>
              <w:t xml:space="preserve">4- </w:t>
            </w:r>
            <w:commentRangeStart w:id="0"/>
            <w:r/>
            <w:commentRangeStart w:id="1"/>
            <w:r>
              <w:rPr>
                <w:rtl w:val="0"/>
              </w:rPr>
              <w:t xml:space="preserve">Lever les freins psychosociaux</w:t>
            </w:r>
            <w:commentRangeEnd w:id="0"/>
            <w:r>
              <w:commentReference w:id="0"/>
            </w:r>
            <w:r/>
            <w:commentRangeEnd w:id="1"/>
            <w:r>
              <w:commentReference w:id="1"/>
            </w:r>
            <w:r>
              <w:rPr>
                <w:rtl w:val="0"/>
              </w:rPr>
              <w:t xml:space="preserve"> à l’usage du numérique</w:t>
              <w:br/>
              <w:t xml:space="preserve">11 - Développer la formation continue des </w:t>
            </w:r>
            <w:commentRangeStart w:id="2"/>
            <w:r/>
            <w:commentRangeStart w:id="3"/>
            <w:r>
              <w:rPr>
                <w:rtl w:val="0"/>
              </w:rPr>
              <w:t xml:space="preserve">conseillers numériques</w:t>
            </w:r>
            <w:commentRangeEnd w:id="2"/>
            <w:r>
              <w:commentReference w:id="2"/>
            </w:r>
            <w:r/>
            <w:commentRangeEnd w:id="3"/>
            <w:r>
              <w:commentReference w:id="3"/>
            </w:r>
            <w:r>
              <w:rPr>
                <w:rtl w:val="0"/>
              </w:rPr>
              <w:t xml:space="preserve"> pour adapter leurs compétences aux réalités opérationnelles</w:t>
              <w:br/>
              <w:t xml:space="preserve">12 - Améliorer la reconnaissance du statut d'aidant professionnel</w:t>
            </w:r>
            <w:r/>
          </w:p>
        </w:tc>
      </w:tr>
      <w:tr>
        <w:trPr>
          <w:cantSplit w:val="false"/>
          <w:trHeight w:val="836"/>
        </w:trPr>
        <w:tc>
          <w:tcPr>
            <w:shd w:val="clear" w:color="auto" w:fill="auto"/>
            <w:tcBorders/>
            <w:vAlign w:val="center"/>
            <w:vMerge w:val="continue"/>
            <w:textDirection w:val="lrTb"/>
            <w:noWrap w:val="false"/>
          </w:tcPr>
          <w:p>
            <w:pPr>
              <w:pBdr/>
              <w:spacing w:after="0" w:before="0" w:line="240" w:lineRule="auto"/>
              <w:ind/>
              <w:rPr/>
            </w:pPr>
            <w:r>
              <w:rPr>
                <w:b/>
                <w:sz w:val="24"/>
                <w:szCs w:val="24"/>
                <w:rtl w:val="0"/>
              </w:rPr>
              <w:t xml:space="preserve">OBJECTIFS OPÉRATIONNELS</w:t>
            </w:r>
            <w:r>
              <w:rPr>
                <w:rtl w:val="0"/>
              </w:rPr>
            </w: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pBdr/>
              <w:spacing/>
              <w:ind/>
              <w:rPr>
                <w:sz w:val="24"/>
                <w:szCs w:val="24"/>
              </w:rPr>
            </w:pPr>
            <w:r>
              <w:rPr>
                <w:sz w:val="24"/>
                <w:szCs w:val="24"/>
                <w:rtl w:val="0"/>
              </w:rPr>
              <w:t xml:space="preserve">SÉNAT</w:t>
            </w:r>
            <w:r>
              <w:rPr>
                <w:sz w:val="24"/>
                <w:szCs w:val="24"/>
              </w:rPr>
            </w:r>
            <w:r>
              <w:rPr>
                <w:sz w:val="24"/>
                <w:szCs w:val="24"/>
              </w:rPr>
            </w:r>
          </w:p>
        </w:tc>
        <w:tc>
          <w:tcPr>
            <w:gridSpan w:val="2"/>
            <w:shd w:val="clear" w:color="auto" w:fill="auto"/>
            <w:tcBorders/>
            <w:vAlign w:val="center"/>
            <w:textDirection w:val="lrTb"/>
            <w:noWrap w:val="false"/>
          </w:tcPr>
          <w:p>
            <w:pPr>
              <w:pBdr/>
              <w:spacing/>
              <w:ind/>
              <w:jc w:val="both"/>
              <w:rPr/>
            </w:pPr>
            <w:r>
              <w:rPr>
                <w:rtl w:val="0"/>
              </w:rPr>
              <w:t xml:space="preserve">Proposition n° 27 : Forger une véritable filière de médiateurs numériques , par le lancement d'un plan national de formation et par une meilleure reconnaissance du métier de médiateur numérique en :</w:t>
              <w:br/>
              <w:t xml:space="preserve">- assurant leur formation continue permanente ;</w:t>
            </w:r>
            <w:r/>
          </w:p>
        </w:tc>
      </w:tr>
      <w:tr>
        <w:trPr>
          <w:cantSplit w:val="false"/>
          <w:trHeight w:val="510"/>
        </w:trPr>
        <w:tc>
          <w:tcPr>
            <w:shd w:val="clear" w:color="auto" w:fill="auto"/>
            <w:tcBorders/>
            <w:vAlign w:val="center"/>
            <w:vMerge w:val="continue"/>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DESCRIPTIF DE L’ACTION</w:t>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pBdr/>
              <w:spacing/>
              <w:ind/>
              <w:rPr>
                <w:sz w:val="24"/>
                <w:szCs w:val="24"/>
              </w:rPr>
            </w:pPr>
            <w:r>
              <w:rPr>
                <w:sz w:val="24"/>
                <w:szCs w:val="24"/>
                <w:rtl w:val="0"/>
              </w:rPr>
              <w:t xml:space="preserve">COMMISSION</w:t>
            </w:r>
            <w:r>
              <w:rPr>
                <w:sz w:val="24"/>
                <w:szCs w:val="24"/>
              </w:rPr>
            </w:r>
            <w:r>
              <w:rPr>
                <w:sz w:val="24"/>
                <w:szCs w:val="24"/>
              </w:rPr>
            </w:r>
          </w:p>
        </w:tc>
        <w:tc>
          <w:tcPr>
            <w:gridSpan w:val="2"/>
            <w:shd w:val="clear" w:color="auto" w:fill="auto"/>
            <w:tcBorders/>
            <w:vAlign w:val="center"/>
            <w:textDirection w:val="lrTb"/>
            <w:noWrap w:val="false"/>
          </w:tcPr>
          <w:p>
            <w:pPr>
              <w:pBdr/>
              <w:spacing/>
              <w:ind/>
              <w:jc w:val="both"/>
              <w:rPr/>
            </w:pPr>
            <w:r>
              <w:rPr>
                <w:rtl w:val="0"/>
              </w:rPr>
              <w:t xml:space="preserve">RAS</w:t>
            </w:r>
            <w:r/>
          </w:p>
        </w:tc>
      </w:tr>
      <w:tr>
        <w:trPr>
          <w:cantSplit w:val="false"/>
          <w:trHeight w:val="510"/>
        </w:trPr>
        <w:tc>
          <w:tcPr>
            <w:shd w:val="clear" w:color="auto" w:fill="auto"/>
            <w:tcBorders/>
            <w:vAlign w:val="center"/>
            <w:textDirection w:val="lrTb"/>
            <w:noWrap w:val="false"/>
          </w:tcPr>
          <w:p>
            <w:pPr>
              <w:pBdr/>
              <w:spacing/>
              <w:ind/>
              <w:rPr/>
            </w:pPr>
            <w:r>
              <w:rPr>
                <w:b/>
                <w:sz w:val="24"/>
                <w:szCs w:val="24"/>
                <w:rtl w:val="0"/>
              </w:rPr>
              <w:t xml:space="preserve">OBJECTIFS OPÉRATIONNELS</w:t>
            </w:r>
            <w:r>
              <w:rPr>
                <w:rtl w:val="0"/>
              </w:rPr>
            </w:r>
            <w:r/>
          </w:p>
          <w:p>
            <w:pPr>
              <w:pBdr/>
              <w:spacing/>
              <w:ind/>
              <w:rPr>
                <w:b/>
                <w:sz w:val="24"/>
                <w:szCs w:val="24"/>
              </w:rPr>
            </w:pPr>
            <w:r>
              <w:rPr>
                <w:rtl w:val="0"/>
              </w:rPr>
            </w:r>
            <w:r>
              <w:rPr>
                <w:b/>
                <w:sz w:val="24"/>
                <w:szCs w:val="24"/>
              </w:rPr>
            </w:r>
            <w:r>
              <w:rPr>
                <w:b/>
                <w:sz w:val="24"/>
                <w:szCs w:val="24"/>
              </w:rPr>
            </w:r>
          </w:p>
        </w:tc>
        <w:tc>
          <w:tcPr>
            <w:gridSpan w:val="3"/>
            <w:shd w:val="clear" w:color="auto" w:fill="auto"/>
            <w:tcBorders/>
            <w:vAlign w:val="center"/>
            <w:textDirection w:val="lrTb"/>
            <w:noWrap w:val="false"/>
          </w:tcPr>
          <w:p>
            <w:pPr>
              <w:numPr>
                <w:ilvl w:val="0"/>
                <w:numId w:val="8"/>
              </w:numPr>
              <w:pBdr/>
              <w:spacing/>
              <w:ind w:hanging="360" w:left="720"/>
              <w:rPr/>
            </w:pPr>
            <w:r>
              <w:rPr>
                <w:rtl w:val="0"/>
              </w:rPr>
              <w:t xml:space="preserve">Mener une veille des formations liées à de la médiation numérique</w:t>
            </w:r>
            <w:r/>
          </w:p>
          <w:p>
            <w:pPr>
              <w:numPr>
                <w:ilvl w:val="0"/>
                <w:numId w:val="8"/>
              </w:numPr>
              <w:pBdr/>
              <w:spacing/>
              <w:ind w:hanging="360" w:left="720"/>
              <w:rPr>
                <w:u w:val="none"/>
              </w:rPr>
            </w:pPr>
            <w:r>
              <w:rPr>
                <w:rtl w:val="0"/>
              </w:rPr>
              <w:t xml:space="preserve">Mener une veille des financements liés aux formations à la médiation numérique</w:t>
            </w:r>
            <w:r>
              <w:rPr>
                <w:u w:val="none"/>
              </w:rPr>
            </w:r>
            <w:r>
              <w:rPr>
                <w:u w:val="none"/>
              </w:rPr>
            </w:r>
          </w:p>
          <w:p>
            <w:pPr>
              <w:numPr>
                <w:ilvl w:val="0"/>
                <w:numId w:val="8"/>
              </w:numPr>
              <w:pBdr/>
              <w:spacing/>
              <w:ind w:hanging="360" w:left="720"/>
              <w:rPr/>
            </w:pPr>
            <w:r>
              <w:rPr>
                <w:rtl w:val="0"/>
              </w:rPr>
              <w:t xml:space="preserve">Mettre en place une information régulière des médiateurs numériques sur ces offres et des retours d’expérience sur ces formations</w:t>
            </w:r>
            <w:r/>
          </w:p>
        </w:tc>
      </w:tr>
      <w:tr>
        <w:trPr>
          <w:cantSplit w:val="false"/>
          <w:trHeight w:val="510"/>
        </w:trPr>
        <w:tc>
          <w:tcPr>
            <w:shd w:val="clear" w:color="auto" w:fill="auto"/>
            <w:tcBorders/>
            <w:vAlign w:val="center"/>
            <w:textDirection w:val="lrTb"/>
            <w:noWrap w:val="false"/>
          </w:tcPr>
          <w:p>
            <w:pPr>
              <w:pBdr/>
              <w:spacing/>
              <w:ind/>
              <w:rPr>
                <w:b/>
                <w:sz w:val="24"/>
                <w:szCs w:val="24"/>
              </w:rPr>
            </w:pPr>
            <w:r>
              <w:rPr>
                <w:b/>
                <w:sz w:val="24"/>
                <w:szCs w:val="24"/>
                <w:rtl w:val="0"/>
              </w:rPr>
              <w:t xml:space="preserve">DESCRIPTIF DE L’ACTION</w:t>
            </w:r>
            <w:r>
              <w:rPr>
                <w:b/>
                <w:sz w:val="24"/>
                <w:szCs w:val="24"/>
              </w:rPr>
            </w:r>
            <w:r>
              <w:rPr>
                <w:b/>
                <w:sz w:val="24"/>
                <w:szCs w:val="24"/>
              </w:rPr>
            </w:r>
          </w:p>
          <w:p>
            <w:pPr>
              <w:pBdr/>
              <w:spacing/>
              <w:ind/>
              <w:rPr>
                <w:b/>
                <w:sz w:val="24"/>
                <w:szCs w:val="24"/>
              </w:rPr>
            </w:pPr>
            <w:r>
              <w:rPr>
                <w:rtl w:val="0"/>
              </w:rPr>
            </w:r>
            <w:r>
              <w:rPr>
                <w:b/>
                <w:sz w:val="24"/>
                <w:szCs w:val="24"/>
              </w:rPr>
            </w:r>
            <w:r>
              <w:rPr>
                <w:b/>
                <w:sz w:val="24"/>
                <w:szCs w:val="24"/>
              </w:rPr>
            </w:r>
          </w:p>
          <w:p>
            <w:pPr>
              <w:pBdr/>
              <w:spacing/>
              <w:ind/>
              <w:rPr>
                <w:b/>
                <w:sz w:val="24"/>
                <w:szCs w:val="24"/>
              </w:rPr>
            </w:pPr>
            <w:r>
              <w:rPr>
                <w:rtl w:val="0"/>
              </w:rPr>
            </w:r>
            <w:r>
              <w:rPr>
                <w:b/>
                <w:sz w:val="24"/>
                <w:szCs w:val="24"/>
              </w:rPr>
            </w:r>
            <w:r>
              <w:rPr>
                <w:b/>
                <w:sz w:val="24"/>
                <w:szCs w:val="24"/>
              </w:rPr>
            </w:r>
          </w:p>
          <w:p>
            <w:pPr>
              <w:pBdr/>
              <w:spacing/>
              <w:ind/>
              <w:rPr>
                <w:b/>
                <w:sz w:val="24"/>
                <w:szCs w:val="24"/>
              </w:rPr>
            </w:pPr>
            <w:r>
              <w:rPr>
                <w:rtl w:val="0"/>
              </w:rPr>
            </w:r>
            <w:r>
              <w:rPr>
                <w:b/>
                <w:sz w:val="24"/>
                <w:szCs w:val="24"/>
              </w:rPr>
            </w:r>
            <w:r>
              <w:rPr>
                <w:b/>
                <w:sz w:val="24"/>
                <w:szCs w:val="24"/>
              </w:rPr>
            </w:r>
          </w:p>
        </w:tc>
        <w:tc>
          <w:tcPr>
            <w:gridSpan w:val="3"/>
            <w:shd w:val="clear" w:color="auto" w:fill="auto"/>
            <w:tcBorders/>
            <w:vAlign w:val="center"/>
            <w:textDirection w:val="lrTb"/>
            <w:noWrap w:val="false"/>
          </w:tcPr>
          <w:p>
            <w:pPr>
              <w:pBdr/>
              <w:tabs>
                <w:tab w:val="left" w:leader="none" w:pos="0"/>
              </w:tabs>
              <w:spacing w:line="276" w:lineRule="auto"/>
              <w:ind w:firstLine="0" w:left="0"/>
              <w:rPr/>
            </w:pPr>
            <w:r>
              <w:rPr>
                <w:rtl w:val="0"/>
              </w:rPr>
              <w:t xml:space="preserve">L’objectif ici est d’abord l’information. Cette fiche action a une synergie avec la fiche action 9.</w:t>
            </w:r>
            <w:r/>
          </w:p>
          <w:p>
            <w:pPr>
              <w:pBdr/>
              <w:tabs>
                <w:tab w:val="left" w:leader="none" w:pos="0"/>
              </w:tabs>
              <w:spacing w:line="276" w:lineRule="auto"/>
              <w:ind w:firstLine="0" w:left="0"/>
              <w:rPr/>
            </w:pPr>
            <w:r>
              <w:rPr>
                <w:rtl w:val="0"/>
              </w:rPr>
              <w:t xml:space="preserve">Elle repose majoritairement sur un travail de veille d’une part, et sur une communication ciblée d’autre part en priorisant  les offres de formation disponibles sur le territoire (et peut être dans les zones limitrophes ou accessibles).</w:t>
            </w:r>
            <w:r/>
          </w:p>
          <w:p>
            <w:pPr>
              <w:pBdr/>
              <w:tabs>
                <w:tab w:val="left" w:leader="none" w:pos="0"/>
              </w:tabs>
              <w:spacing w:line="276" w:lineRule="auto"/>
              <w:ind w:firstLine="0" w:left="0"/>
              <w:rPr/>
            </w:pPr>
            <w:r>
              <w:rPr>
                <w:rtl w:val="0"/>
              </w:rPr>
            </w:r>
            <w:r/>
          </w:p>
          <w:p>
            <w:pPr>
              <w:pBdr/>
              <w:tabs>
                <w:tab w:val="left" w:leader="none" w:pos="0"/>
              </w:tabs>
              <w:spacing w:line="276" w:lineRule="auto"/>
              <w:ind w:firstLine="0" w:left="0"/>
              <w:rPr/>
            </w:pPr>
            <w:r>
              <w:rPr>
                <w:rtl w:val="0"/>
              </w:rPr>
              <w:t xml:space="preserve">Cependant, </w:t>
            </w:r>
            <w:commentRangeStart w:id="4"/>
            <w:r/>
            <w:commentRangeStart w:id="5"/>
            <w:r>
              <w:rPr>
                <w:rtl w:val="0"/>
              </w:rPr>
              <w:t xml:space="preserve">cette communication peut aussi servir à mettre en</w:t>
            </w:r>
            <w:commentRangeEnd w:id="4"/>
            <w:r>
              <w:commentReference w:id="4"/>
            </w:r>
            <w:r/>
            <w:commentRangeEnd w:id="5"/>
            <w:r>
              <w:commentReference w:id="5"/>
            </w:r>
            <w:r>
              <w:rPr>
                <w:rtl w:val="0"/>
              </w:rPr>
              <w:t xml:space="preserve"> lien les acteurs de l’inclusion numérique avec de </w:t>
            </w:r>
            <w:commentRangeStart w:id="6"/>
            <w:r/>
            <w:commentRangeStart w:id="7"/>
            <w:r>
              <w:rPr>
                <w:rtl w:val="0"/>
              </w:rPr>
              <w:t xml:space="preserve">potentiels financeurs</w:t>
            </w:r>
            <w:commentRangeEnd w:id="6"/>
            <w:r>
              <w:commentReference w:id="6"/>
            </w:r>
            <w:r/>
            <w:commentRangeEnd w:id="7"/>
            <w:r>
              <w:commentReference w:id="7"/>
            </w:r>
            <w:r>
              <w:rPr>
                <w:rtl w:val="0"/>
              </w:rPr>
              <w:t xml:space="preserve"> afin d’ouvrir les formations payantes à tout le monde (à l’instar de ce qui existe entre Uniformation et l’ANCT)</w:t>
            </w:r>
            <w:r/>
          </w:p>
        </w:tc>
      </w:tr>
      <w:tr>
        <w:trPr>
          <w:cantSplit w:val="false"/>
          <w:trHeight w:val="51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ÉTAPES DE MISE EN PLACE</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numPr>
                <w:ilvl w:val="0"/>
                <w:numId w:val="7"/>
              </w:numPr>
              <w:pBdr/>
              <w:spacing w:after="0" w:before="0" w:line="240" w:lineRule="auto"/>
              <w:ind w:hanging="360" w:left="720"/>
              <w:rPr>
                <w:u w:val="none"/>
              </w:rPr>
            </w:pPr>
            <w:r>
              <w:rPr>
                <w:rtl w:val="0"/>
              </w:rPr>
              <w:t xml:space="preserve">Identifier les organismes de formation, sites internet, comptes réseaux sociaux, etc. en vue de mener une veille des formations et MOOC</w:t>
            </w:r>
            <w:r>
              <w:rPr>
                <w:u w:val="none"/>
              </w:rPr>
            </w:r>
            <w:r>
              <w:rPr>
                <w:u w:val="none"/>
              </w:rPr>
            </w:r>
          </w:p>
          <w:p>
            <w:pPr>
              <w:numPr>
                <w:ilvl w:val="0"/>
                <w:numId w:val="7"/>
              </w:numPr>
              <w:pBdr/>
              <w:spacing w:after="0" w:before="0" w:line="240" w:lineRule="auto"/>
              <w:ind w:hanging="360" w:left="720"/>
              <w:rPr>
                <w:u w:val="none"/>
              </w:rPr>
            </w:pPr>
            <w:r>
              <w:rPr>
                <w:rtl w:val="0"/>
              </w:rPr>
              <w:t xml:space="preserve">Organiser cette veille</w:t>
            </w:r>
            <w:r>
              <w:rPr>
                <w:u w:val="none"/>
              </w:rPr>
            </w:r>
            <w:r>
              <w:rPr>
                <w:u w:val="none"/>
              </w:rPr>
            </w:r>
          </w:p>
          <w:p>
            <w:pPr>
              <w:numPr>
                <w:ilvl w:val="0"/>
                <w:numId w:val="7"/>
              </w:numPr>
              <w:pBdr/>
              <w:spacing w:after="0" w:before="0" w:line="240" w:lineRule="auto"/>
              <w:ind w:hanging="360" w:left="720"/>
              <w:rPr>
                <w:u w:val="none"/>
              </w:rPr>
            </w:pPr>
            <w:r>
              <w:rPr>
                <w:rtl w:val="0"/>
              </w:rPr>
              <w:t xml:space="preserve">Identifier les médiateurs numériques à qui transmettre ces informations</w:t>
            </w:r>
            <w:r>
              <w:rPr>
                <w:u w:val="none"/>
              </w:rPr>
            </w:r>
            <w:r>
              <w:rPr>
                <w:u w:val="none"/>
              </w:rPr>
            </w:r>
          </w:p>
          <w:p>
            <w:pPr>
              <w:numPr>
                <w:ilvl w:val="0"/>
                <w:numId w:val="7"/>
              </w:numPr>
              <w:pBdr/>
              <w:spacing w:after="0" w:before="0" w:line="240" w:lineRule="auto"/>
              <w:ind w:hanging="360" w:left="720"/>
              <w:rPr>
                <w:u w:val="none"/>
              </w:rPr>
            </w:pPr>
            <w:r>
              <w:rPr>
                <w:rtl w:val="0"/>
              </w:rPr>
              <w:t xml:space="preserve">Mettre en place une communication régulière sur ce sujet (newsletter mensuelle par exemple)</w:t>
            </w:r>
            <w:r>
              <w:rPr>
                <w:u w:val="none"/>
              </w:rPr>
            </w:r>
            <w:r>
              <w:rPr>
                <w:u w:val="none"/>
              </w:rPr>
            </w:r>
          </w:p>
        </w:tc>
      </w:tr>
      <w:tr>
        <w:trPr>
          <w:cantSplit w:val="false"/>
          <w:trHeight w:val="51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DURÉE DE L’ACTION</w:t>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numPr>
                <w:ilvl w:val="0"/>
                <w:numId w:val="4"/>
              </w:numPr>
              <w:pBdr/>
              <w:spacing w:after="0" w:before="0" w:line="240" w:lineRule="auto"/>
              <w:ind w:hanging="360" w:left="720"/>
              <w:rPr>
                <w:sz w:val="24"/>
                <w:szCs w:val="24"/>
                <w:u w:val="none"/>
              </w:rPr>
            </w:pPr>
            <w:r>
              <w:rPr>
                <w:sz w:val="24"/>
                <w:szCs w:val="24"/>
                <w:rtl w:val="0"/>
              </w:rPr>
              <w:t xml:space="preserve">ANNUELLE</w:t>
            </w:r>
            <w:r>
              <w:rPr>
                <w:sz w:val="24"/>
                <w:szCs w:val="24"/>
                <w:u w:val="none"/>
              </w:rPr>
            </w:r>
            <w:r>
              <w:rPr>
                <w:sz w:val="24"/>
                <w:szCs w:val="24"/>
                <w:u w:val="none"/>
              </w:rPr>
            </w:r>
          </w:p>
        </w:tc>
        <w:tc>
          <w:tcPr>
            <w:shd w:val="clear" w:color="auto" w:fill="auto"/>
            <w:tcBorders/>
            <w:vAlign w:val="center"/>
            <w:textDirection w:val="lrTb"/>
            <w:noWrap w:val="false"/>
          </w:tcPr>
          <w:p>
            <w:pPr>
              <w:numPr>
                <w:ilvl w:val="0"/>
                <w:numId w:val="6"/>
              </w:numPr>
              <w:pBdr/>
              <w:spacing w:after="0" w:before="0" w:line="240" w:lineRule="auto"/>
              <w:ind w:hanging="360" w:left="720"/>
              <w:rPr>
                <w:sz w:val="24"/>
                <w:szCs w:val="24"/>
                <w:u w:val="none"/>
              </w:rPr>
            </w:pPr>
            <w:r>
              <w:rPr>
                <w:sz w:val="24"/>
                <w:szCs w:val="24"/>
                <w:rtl w:val="0"/>
              </w:rPr>
              <w:t xml:space="preserve">PLURIANNUELLE</w:t>
            </w:r>
            <w:r>
              <w:rPr>
                <w:sz w:val="24"/>
                <w:szCs w:val="24"/>
                <w:u w:val="none"/>
              </w:rPr>
            </w:r>
            <w:r>
              <w:rPr>
                <w:sz w:val="24"/>
                <w:szCs w:val="24"/>
                <w:u w:val="none"/>
              </w:rPr>
            </w:r>
          </w:p>
        </w:tc>
        <w:tc>
          <w:tcPr>
            <w:shd w:val="clear" w:color="auto" w:fill="auto"/>
            <w:tcBorders/>
            <w:textDirection w:val="lrTb"/>
            <w:noWrap w:val="false"/>
          </w:tcPr>
          <w:p>
            <w:pPr>
              <w:numPr>
                <w:ilvl w:val="0"/>
                <w:numId w:val="3"/>
              </w:numPr>
              <w:pBdr/>
              <w:spacing w:after="0" w:before="0" w:line="240" w:lineRule="auto"/>
              <w:ind w:hanging="360" w:left="425"/>
              <w:rPr>
                <w:sz w:val="24"/>
                <w:szCs w:val="24"/>
                <w:u w:val="none"/>
              </w:rPr>
            </w:pPr>
            <w:r>
              <w:rPr>
                <w:sz w:val="24"/>
                <w:szCs w:val="24"/>
                <w:rtl w:val="0"/>
              </w:rPr>
              <w:t xml:space="preserve"> DÉBUT: </w:t>
            </w:r>
            <w:r>
              <w:rPr>
                <w:sz w:val="24"/>
                <w:szCs w:val="24"/>
                <w:u w:val="none"/>
              </w:rPr>
            </w:r>
            <w:r>
              <w:rPr>
                <w:sz w:val="24"/>
                <w:szCs w:val="24"/>
                <w:u w:val="none"/>
              </w:rPr>
            </w:r>
          </w:p>
          <w:p>
            <w:pPr>
              <w:pBdr/>
              <w:spacing w:after="0" w:before="0" w:line="240" w:lineRule="auto"/>
              <w:ind/>
              <w:rPr/>
            </w:pPr>
            <w:r>
              <w:rPr>
                <w:sz w:val="24"/>
                <w:szCs w:val="24"/>
                <w:rtl w:val="0"/>
              </w:rPr>
              <w:t xml:space="preserve">         FIN : </w:t>
            </w:r>
            <w:r>
              <w:rPr>
                <w:rtl w:val="0"/>
              </w:rPr>
            </w:r>
            <w:r/>
          </w:p>
        </w:tc>
      </w:tr>
      <w:tr>
        <w:trPr>
          <w:cantSplit w:val="false"/>
          <w:trHeight w:val="406"/>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PÉRIMÈTRE DE L’ACTION</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Var</w:t>
            </w:r>
            <w:r/>
          </w:p>
        </w:tc>
      </w:tr>
      <w:tr>
        <w:trPr>
          <w:cantSplit w:val="false"/>
          <w:trHeight w:val="51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PUBLIC CIBLE</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Professionnels de la médiation numérique</w:t>
            </w:r>
            <w:r/>
          </w:p>
        </w:tc>
      </w:tr>
      <w:tr>
        <w:trPr>
          <w:cantSplit w:val="false"/>
          <w:trHeight w:val="66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RÉSULTATS ATTENDUS</w:t>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Production d’une newsletter</w:t>
            </w:r>
            <w:r/>
          </w:p>
          <w:p>
            <w:pPr>
              <w:pBdr/>
              <w:spacing w:after="0" w:before="0" w:line="240" w:lineRule="auto"/>
              <w:ind/>
              <w:rPr/>
            </w:pPr>
            <w:r>
              <w:rPr>
                <w:rtl w:val="0"/>
              </w:rPr>
              <w:t xml:space="preserve">Liens avec les OPCO locaux pour la veille</w:t>
            </w:r>
            <w:r/>
          </w:p>
          <w:p>
            <w:pPr>
              <w:pBdr/>
              <w:spacing w:after="0" w:before="0" w:line="240" w:lineRule="auto"/>
              <w:ind/>
              <w:rPr/>
            </w:pPr>
            <w:r>
              <w:rPr>
                <w:rtl w:val="0"/>
              </w:rPr>
              <w:t xml:space="preserve">Augmentation du nombre de participants aux formations</w:t>
            </w:r>
            <w:r/>
          </w:p>
        </w:tc>
      </w:tr>
      <w:tr>
        <w:trPr>
          <w:cantSplit w:val="false"/>
          <w:trHeight w:val="570"/>
        </w:trPr>
        <w:tc>
          <w:tcPr>
            <w:shd w:val="clear" w:color="auto" w:fill="auto"/>
            <w:tcBorders/>
            <w:vAlign w:val="center"/>
            <w:vMerge w:val="restart"/>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MOYENS MOBILISÉS</w:t>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pBdr/>
              <w:spacing w:after="0" w:before="0" w:line="240" w:lineRule="auto"/>
              <w:ind/>
              <w:rPr>
                <w:b/>
              </w:rPr>
            </w:pPr>
            <w:r>
              <w:rPr>
                <w:b/>
                <w:rtl w:val="0"/>
              </w:rPr>
              <w:t xml:space="preserve">HUMAINS</w:t>
            </w:r>
            <w:r>
              <w:rPr>
                <w:b/>
              </w:rPr>
            </w:r>
            <w:r>
              <w:rPr>
                <w:b/>
              </w:rP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b/>
              </w:rPr>
            </w:pPr>
            <w:r>
              <w:rPr>
                <w:b/>
                <w:rtl w:val="0"/>
              </w:rPr>
              <w:t xml:space="preserve">MATÉRIELS</w:t>
            </w:r>
            <w:r>
              <w:rPr>
                <w:b/>
              </w:rPr>
            </w:r>
            <w:r>
              <w:rPr>
                <w:b/>
              </w:rP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b/>
              </w:rPr>
            </w:pPr>
            <w:r>
              <w:rPr>
                <w:b/>
                <w:rtl w:val="0"/>
              </w:rPr>
              <w:t xml:space="preserve">FINANCIER</w:t>
            </w:r>
            <w:r>
              <w:rPr>
                <w:b/>
              </w:rPr>
            </w:r>
            <w:r>
              <w:rPr>
                <w:b/>
              </w:rPr>
            </w:r>
          </w:p>
        </w:tc>
      </w:tr>
      <w:tr>
        <w:trPr>
          <w:cantSplit w:val="false"/>
          <w:trHeight w:val="570"/>
        </w:trPr>
        <w:tc>
          <w:tcPr>
            <w:shd w:val="clear" w:color="auto" w:fill="auto"/>
            <w:tcBorders/>
            <w:vAlign w:val="center"/>
            <w:vMerge w:val="continue"/>
            <w:textDirection w:val="lrTb"/>
            <w:noWrap w:val="false"/>
          </w:tcPr>
          <w:p>
            <w:pPr>
              <w:pBdr/>
              <w:spacing w:after="0" w:before="0" w:line="240" w:lineRule="auto"/>
              <w:ind w:firstLine="0" w:left="0"/>
              <w:rPr>
                <w:b/>
                <w:sz w:val="24"/>
                <w:szCs w:val="24"/>
              </w:rPr>
            </w:pPr>
            <w:r>
              <w:rPr>
                <w:rtl w:val="0"/>
              </w:rPr>
            </w:r>
            <w:r>
              <w:rPr>
                <w:b/>
                <w:sz w:val="24"/>
                <w:szCs w:val="24"/>
              </w:rPr>
            </w:r>
            <w:r>
              <w:rPr>
                <w:b/>
                <w:sz w:val="24"/>
                <w:szCs w:val="24"/>
              </w:rPr>
            </w:r>
          </w:p>
        </w:tc>
        <w:tc>
          <w:tcPr>
            <w:shd w:val="clear" w:color="auto" w:fill="auto"/>
            <w:tcBorders/>
            <w:vAlign w:val="center"/>
            <w:textDirection w:val="lrTb"/>
            <w:noWrap w:val="false"/>
          </w:tcPr>
          <w:p>
            <w:pPr>
              <w:pBdr/>
              <w:spacing w:after="0" w:before="0" w:line="240" w:lineRule="auto"/>
              <w:ind/>
              <w:rPr/>
            </w:pPr>
            <w:r>
              <w:rPr>
                <w:rtl w:val="0"/>
              </w:rPr>
              <w:t xml:space="preserve">Agent Hub du Sud</w:t>
            </w:r>
            <w:r/>
          </w:p>
          <w:p>
            <w:pPr>
              <w:pBdr/>
              <w:spacing w:after="0" w:before="0" w:line="240" w:lineRule="auto"/>
              <w:ind/>
              <w:rPr/>
            </w:pPr>
            <w:r>
              <w:rPr>
                <w:rtl w:val="0"/>
              </w:rPr>
              <w:t xml:space="preserve">Coordinateur CoNum</w:t>
            </w: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pPr>
            <w:r>
              <w:rPr>
                <w:rtl w:val="0"/>
              </w:rPr>
              <w:t xml:space="preserve">À déterminer au cas par cas</w:t>
            </w: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pPr>
            <w:r>
              <w:rPr>
                <w:rtl w:val="0"/>
              </w:rPr>
              <w:t xml:space="preserve">Déterminer l’enveloppe</w:t>
            </w:r>
            <w:r/>
          </w:p>
        </w:tc>
      </w:tr>
      <w:tr>
        <w:trPr>
          <w:cantSplit w:val="false"/>
          <w:trHeight w:val="579"/>
        </w:trPr>
        <w:tc>
          <w:tcPr>
            <w:shd w:val="clear" w:color="auto" w:fill="auto"/>
            <w:tcBorders/>
            <w:vAlign w:val="center"/>
            <w:textDirection w:val="lrTb"/>
            <w:noWrap w:val="false"/>
          </w:tcPr>
          <w:p>
            <w:pPr>
              <w:pBdr/>
              <w:spacing w:after="0" w:before="0" w:line="240" w:lineRule="auto"/>
              <w:ind/>
              <w:rPr/>
            </w:pPr>
            <w:r>
              <w:rPr>
                <w:b/>
                <w:sz w:val="24"/>
                <w:szCs w:val="24"/>
                <w:rtl w:val="0"/>
              </w:rPr>
              <w:t xml:space="preserve">INDICATEURS D’ÉVALUATION</w:t>
            </w:r>
            <w:r>
              <w:rPr>
                <w:rtl w:val="0"/>
              </w:rPr>
            </w: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ind/>
              <w:rPr/>
            </w:pPr>
            <w:r>
              <w:rPr>
                <w:rtl w:val="0"/>
              </w:rPr>
              <w:t xml:space="preserve">Nombre de formations identifiées</w:t>
            </w:r>
            <w:r/>
          </w:p>
          <w:p>
            <w:pPr>
              <w:pBdr/>
              <w:spacing/>
              <w:ind/>
              <w:rPr/>
            </w:pPr>
            <w:r>
              <w:rPr>
                <w:rtl w:val="0"/>
              </w:rPr>
              <w:t xml:space="preserve">Nombre d’abonnés de la newsletter</w:t>
            </w:r>
            <w:r/>
          </w:p>
          <w:p>
            <w:pPr>
              <w:pBdr/>
              <w:spacing/>
              <w:ind/>
              <w:rPr/>
            </w:pPr>
            <w:r>
              <w:rPr>
                <w:rtl w:val="0"/>
              </w:rPr>
              <w:t xml:space="preserve">Nombre </w:t>
            </w:r>
            <w:r>
              <w:rPr>
                <w:rtl w:val="0"/>
              </w:rPr>
              <w:t xml:space="preserve">de </w:t>
            </w:r>
            <w:r>
              <w:rPr>
                <w:rtl w:val="0"/>
              </w:rPr>
              <w:t xml:space="preserve">médiateurs formés dans l’année</w:t>
            </w:r>
            <w:r/>
          </w:p>
          <w:p>
            <w:pPr>
              <w:pBdr/>
              <w:spacing/>
              <w:ind/>
              <w:rPr/>
            </w:pPr>
            <w:r>
              <w:rPr>
                <w:rtl w:val="0"/>
              </w:rPr>
              <w:t xml:space="preserve">Nombre de </w:t>
            </w:r>
            <w:commentRangeStart w:id="8"/>
            <w:r/>
            <w:commentRangeStart w:id="9"/>
            <w:r>
              <w:rPr>
                <w:rtl w:val="0"/>
              </w:rPr>
              <w:t xml:space="preserve">retours/demandes</w:t>
            </w:r>
            <w:commentRangeEnd w:id="8"/>
            <w:r>
              <w:commentReference w:id="8"/>
            </w:r>
            <w:r/>
            <w:commentRangeEnd w:id="9"/>
            <w:r>
              <w:commentReference w:id="9"/>
            </w:r>
            <w:r>
              <w:rPr>
                <w:rtl w:val="0"/>
              </w:rPr>
              <w:t xml:space="preserve"> de financement pour ces formations</w:t>
            </w:r>
            <w:r/>
          </w:p>
        </w:tc>
      </w:tr>
      <w:tr>
        <w:trPr>
          <w:cantSplit w:val="false"/>
          <w:trHeight w:val="579"/>
        </w:trPr>
        <w:tc>
          <w:tcPr>
            <w:shd w:val="clear" w:color="auto" w:fill="auto"/>
            <w:tcBorders/>
            <w:vAlign w:val="center"/>
            <w:textDirection w:val="lrTb"/>
            <w:noWrap w:val="false"/>
          </w:tcPr>
          <w:p>
            <w:pPr>
              <w:pBdr/>
              <w:spacing w:after="0" w:before="0" w:line="240" w:lineRule="auto"/>
              <w:ind/>
              <w:rPr>
                <w:b/>
                <w:sz w:val="24"/>
                <w:szCs w:val="24"/>
              </w:rPr>
            </w:pPr>
            <w:r>
              <w:rPr>
                <w:b/>
                <w:sz w:val="24"/>
                <w:szCs w:val="24"/>
                <w:rtl w:val="0"/>
              </w:rPr>
              <w:t xml:space="preserve">RESSOURCES</w:t>
            </w:r>
            <w:r>
              <w:rPr>
                <w:b/>
                <w:sz w:val="24"/>
                <w:szCs w:val="24"/>
              </w:rPr>
            </w:r>
            <w:r>
              <w:rPr>
                <w:b/>
                <w:sz w:val="24"/>
                <w:szCs w:val="24"/>
              </w:rPr>
            </w:r>
          </w:p>
        </w:tc>
        <w:tc>
          <w:tcPr>
            <w:gridSpan w:val="3"/>
            <w:shd w:val="clear" w:color="auto" w:fill="auto"/>
            <w:tcBorders/>
            <w:vAlign w:val="center"/>
            <w:textDirection w:val="lrTb"/>
            <w:noWrap w:val="false"/>
          </w:tcPr>
          <w:p>
            <w:pPr>
              <w:pBdr/>
              <w:spacing/>
              <w:ind/>
              <w:rPr/>
            </w:pPr>
            <w:r>
              <w:rPr>
                <w:rtl w:val="0"/>
              </w:rPr>
              <w:t xml:space="preserve">Nombreuses, à remplir</w:t>
            </w:r>
            <w:r/>
          </w:p>
        </w:tc>
      </w:tr>
      <w:tr>
        <w:trPr>
          <w:cantSplit w:val="false"/>
          <w:trHeight w:val="579"/>
        </w:trPr>
        <w:tc>
          <w:tcPr>
            <w:shd w:val="clear" w:color="auto" w:fill="auto"/>
            <w:tcBorders/>
            <w:vAlign w:val="center"/>
            <w:textDirection w:val="lrTb"/>
            <w:noWrap w:val="false"/>
          </w:tcPr>
          <w:p>
            <w:pPr>
              <w:pBdr/>
              <w:spacing w:after="0" w:before="0" w:line="240" w:lineRule="auto"/>
              <w:ind/>
              <w:rPr>
                <w:b/>
                <w:sz w:val="24"/>
                <w:szCs w:val="24"/>
              </w:rPr>
            </w:pPr>
            <w:r>
              <w:rPr>
                <w:b/>
                <w:sz w:val="24"/>
                <w:szCs w:val="24"/>
                <w:rtl w:val="0"/>
              </w:rPr>
              <w:t xml:space="preserve">PERSPECTIVES</w:t>
            </w:r>
            <w:r>
              <w:rPr>
                <w:b/>
                <w:sz w:val="24"/>
                <w:szCs w:val="24"/>
              </w:rPr>
            </w:r>
            <w:r>
              <w:rPr>
                <w:b/>
                <w:sz w:val="24"/>
                <w:szCs w:val="24"/>
              </w:rPr>
            </w:r>
          </w:p>
        </w:tc>
        <w:tc>
          <w:tcPr>
            <w:gridSpan w:val="3"/>
            <w:shd w:val="clear" w:color="auto" w:fill="auto"/>
            <w:tcBorders/>
            <w:vAlign w:val="center"/>
            <w:textDirection w:val="lrTb"/>
            <w:noWrap w:val="false"/>
          </w:tcPr>
          <w:p>
            <w:pPr>
              <w:pBdr/>
              <w:spacing w:after="200" w:line="276" w:lineRule="auto"/>
              <w:ind/>
              <w:rPr/>
            </w:pPr>
            <w:r/>
            <w:commentRangeStart w:id="10"/>
            <w:r>
              <w:rPr>
                <w:rtl w:val="0"/>
              </w:rPr>
              <w:t xml:space="preserve">Idée : cette action ne trouvera vraiment son sens que si un fonds de formation est créé pour permettre aux acteurs les plus vulnérables financièrement de participer à ces formations </w:t>
            </w:r>
            <w:commentRangeEnd w:id="10"/>
            <w:r>
              <w:commentReference w:id="10"/>
            </w:r>
            <w:r>
              <w:rPr>
                <w:rtl w:val="0"/>
              </w:rPr>
            </w:r>
            <w:r/>
          </w:p>
        </w:tc>
      </w:tr>
    </w:tbl>
    <w:p>
      <w:pPr>
        <w:pBdr/>
        <w:spacing w:after="200" w:before="0"/>
        <w:ind/>
        <w:rPr/>
      </w:pPr>
      <w:r>
        <w:rPr>
          <w:rtl w:val="0"/>
        </w:rPr>
      </w:r>
      <w:r/>
    </w:p>
    <w:p>
      <w:pPr>
        <w:pBdr/>
        <w:spacing w:after="200" w:before="0"/>
        <w:ind/>
        <w:rPr/>
      </w:pPr>
      <w:r>
        <w:rPr>
          <w:rtl w:val="0"/>
        </w:rPr>
      </w:r>
      <w:r/>
    </w:p>
    <w:sectPr>
      <w:footnotePr/>
      <w:endnotePr/>
      <w:type w:val="nextPage"/>
      <w:pgSz w:h="16838" w:orient="portrait" w:w="11906"/>
      <w:pgMar w:top="1474" w:right="1983" w:bottom="851" w:left="1418" w:header="0" w:footer="0" w:gutter="0"/>
      <w:pgNumType w:start="1"/>
      <w:cols w:num="1" w:sep="0" w:space="1701" w:equalWidth="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 w:author="Jean-pierre SEVAL" w:date="2025-09-30T17:48:47Z">
    <w:p w14:paraId="00000001" w14:textId="00000001">
      <w:pPr>
        <w:spacing w:line="240" w:after="0" w:lineRule="auto" w:before="0"/>
        <w:ind w:firstLine="0" w:left="0" w:right="0"/>
        <w:jc w:val="left"/>
      </w:pPr>
      <w:r>
        <w:rPr>
          <w:rFonts w:eastAsia="Arial" w:ascii="Arial" w:hAnsi="Arial" w:cs="Arial"/>
          <w:sz w:val="22"/>
        </w:rPr>
        <w:t xml:space="preserve">on en parle....</w:t>
      </w:r>
    </w:p>
  </w:comment>
  <w:comment w:id="9" w:author="Valentin BOUSSET" w:date="2025-10-01T15:34:01Z">
    <w:p w14:paraId="00000002" w14:textId="00000002">
      <w:pPr>
        <w:spacing w:line="240" w:after="0" w:lineRule="auto" w:before="0"/>
        <w:ind w:firstLine="0" w:left="0" w:right="0"/>
        <w:jc w:val="left"/>
      </w:pPr>
      <w:r>
        <w:rPr>
          <w:rFonts w:eastAsia="Arial" w:ascii="Arial" w:hAnsi="Arial" w:cs="Arial"/>
          <w:sz w:val="22"/>
        </w:rPr>
        <w:t xml:space="preserve">Combien de demandes reçues qui disent "on voudrait bien mais on a pas d'argent"</w:t>
      </w:r>
    </w:p>
  </w:comment>
  <w:comment w:id="8" w:author="Jean-pierre SEVAL" w:date="2025-09-30T17:47:39Z">
    <w:p w14:paraId="00000003" w14:textId="00000003">
      <w:pPr>
        <w:spacing w:line="240" w:after="0" w:lineRule="auto" w:before="0"/>
        <w:ind w:firstLine="0" w:left="0" w:right="0"/>
        <w:jc w:val="left"/>
      </w:pPr>
      <w:r>
        <w:rPr>
          <w:rFonts w:eastAsia="Arial" w:ascii="Arial" w:hAnsi="Arial" w:cs="Arial"/>
          <w:sz w:val="22"/>
        </w:rPr>
        <w:t xml:space="preserve">pas compris</w:t>
      </w:r>
    </w:p>
  </w:comment>
  <w:comment w:id="7" w:author="Valentin BOUSSET" w:date="2025-10-01T15:34:44Z">
    <w:p w14:paraId="00000004" w14:textId="00000004">
      <w:pPr>
        <w:spacing w:line="240" w:after="0" w:lineRule="auto" w:before="0"/>
        <w:ind w:firstLine="0" w:left="0" w:right="0"/>
        <w:jc w:val="left"/>
      </w:pPr>
      <w:r>
        <w:rPr>
          <w:rFonts w:eastAsia="Arial" w:ascii="Arial" w:hAnsi="Arial" w:cs="Arial"/>
          <w:sz w:val="22"/>
        </w:rPr>
        <w:t xml:space="preserve">ajouté une précision</w:t>
      </w:r>
    </w:p>
  </w:comment>
  <w:comment w:id="6" w:author="Jean-pierre SEVAL" w:date="2025-09-30T17:40:20Z">
    <w:p w14:paraId="00000005" w14:textId="00000005">
      <w:pPr>
        <w:spacing w:line="240" w:after="0" w:lineRule="auto" w:before="0"/>
        <w:ind w:firstLine="0" w:left="0" w:right="0"/>
        <w:jc w:val="left"/>
      </w:pPr>
      <w:r>
        <w:rPr>
          <w:rFonts w:eastAsia="Arial" w:ascii="Arial" w:hAnsi="Arial" w:cs="Arial"/>
          <w:sz w:val="22"/>
        </w:rPr>
        <w:t xml:space="preserve">tu pourrais être plus précis</w:t>
      </w:r>
    </w:p>
  </w:comment>
  <w:comment w:id="5" w:author="Valentin BOUSSET" w:date="2025-10-01T15:35:06Z">
    <w:p w14:paraId="00000006" w14:textId="00000006">
      <w:pPr>
        <w:spacing w:line="240" w:after="0" w:lineRule="auto" w:before="0"/>
        <w:ind w:firstLine="0" w:left="0" w:right="0"/>
        <w:jc w:val="left"/>
      </w:pPr>
      <w:r>
        <w:rPr>
          <w:rFonts w:eastAsia="Arial" w:ascii="Arial" w:hAnsi="Arial" w:cs="Arial"/>
          <w:sz w:val="22"/>
        </w:rPr>
        <w:t xml:space="preserve">C'est l'occasion de mettre en lien directement les financeurs avec les acteurs qui pourraient solliciter les financements (voir exemple)</w:t>
      </w:r>
    </w:p>
  </w:comment>
  <w:comment w:id="4" w:author="Jean-pierre SEVAL" w:date="2025-09-30T17:40:04Z">
    <w:p w14:paraId="00000007" w14:textId="00000007">
      <w:pPr>
        <w:spacing w:line="240" w:after="0" w:lineRule="auto" w:before="0"/>
        <w:ind w:firstLine="0" w:left="0" w:right="0"/>
        <w:jc w:val="left"/>
      </w:pPr>
      <w:r>
        <w:rPr>
          <w:rFonts w:eastAsia="Arial" w:ascii="Arial" w:hAnsi="Arial" w:cs="Arial"/>
          <w:sz w:val="22"/>
        </w:rPr>
        <w:t xml:space="preserve">pas compris</w:t>
      </w:r>
    </w:p>
  </w:comment>
  <w:comment w:id="3" w:author="Valentin BOUSSET" w:date="2025-10-01T15:30:32Z">
    <w:p w14:paraId="00000008" w14:textId="00000008">
      <w:pPr>
        <w:spacing w:line="240" w:after="0" w:lineRule="auto" w:before="0"/>
        <w:ind w:firstLine="0" w:left="0" w:right="0"/>
        <w:jc w:val="left"/>
      </w:pPr>
      <w:r>
        <w:rPr>
          <w:rFonts w:eastAsia="Arial" w:ascii="Arial" w:hAnsi="Arial" w:cs="Arial"/>
          <w:sz w:val="22"/>
        </w:rPr>
        <w:t xml:space="preserve">recommandation FNE, je ne touche pas à ce qui est écrit</w:t>
      </w:r>
    </w:p>
  </w:comment>
  <w:comment w:id="2" w:author="Jean-pierre SEVAL" w:date="2025-09-30T17:35:43Z">
    <w:p w14:paraId="00000009" w14:textId="00000009">
      <w:pPr>
        <w:spacing w:line="240" w:after="0" w:lineRule="auto" w:before="0"/>
        <w:ind w:firstLine="0" w:left="0" w:right="0"/>
        <w:jc w:val="left"/>
      </w:pPr>
      <w:r>
        <w:rPr>
          <w:rFonts w:eastAsia="Arial" w:ascii="Arial" w:hAnsi="Arial" w:cs="Arial"/>
          <w:sz w:val="22"/>
        </w:rPr>
        <w:t xml:space="preserve">médiateurs ou conseillers?</w:t>
      </w:r>
    </w:p>
  </w:comment>
  <w:comment w:id="1" w:author="Valentin BOUSSET" w:date="2025-10-01T15:31:38Z">
    <w:p w14:paraId="0000000A" w14:textId="0000000A">
      <w:pPr>
        <w:spacing w:line="240" w:after="0" w:lineRule="auto" w:before="0"/>
        <w:ind w:firstLine="0" w:left="0" w:right="0"/>
        <w:jc w:val="left"/>
      </w:pPr>
      <w:r>
        <w:rPr>
          <w:rFonts w:eastAsia="Arial" w:ascii="Arial" w:hAnsi="Arial" w:cs="Arial"/>
          <w:sz w:val="22"/>
        </w:rPr>
        <w:t xml:space="preserve">pas forcément ici. Par ailleurs, je C/C les points FNE ici</w:t>
      </w:r>
    </w:p>
  </w:comment>
  <w:comment w:id="0" w:author="Jean-pierre SEVAL" w:date="2025-09-30T17:35:05Z">
    <w:p w14:paraId="0000000B" w14:textId="0000000B">
      <w:pPr>
        <w:spacing w:line="240" w:after="0" w:lineRule="auto" w:before="0"/>
        <w:ind w:firstLine="0" w:left="0" w:right="0"/>
        <w:jc w:val="left"/>
      </w:pPr>
      <w:r>
        <w:rPr>
          <w:rFonts w:eastAsia="Arial" w:ascii="Arial" w:hAnsi="Arial" w:cs="Arial"/>
          <w:sz w:val="22"/>
        </w:rPr>
        <w:t xml:space="preserve">de qui?</w:t>
      </w:r>
    </w:p>
    <w:p w14:paraId="0000000C" w14:textId="0000000C">
      <w:pPr>
        <w:spacing w:line="240" w:after="0" w:lineRule="auto" w:before="0"/>
        <w:ind w:firstLine="0" w:left="0" w:right="0"/>
        <w:jc w:val="left"/>
      </w:pPr>
      <w:r>
        <w:rPr>
          <w:rFonts w:eastAsia="Arial" w:ascii="Arial" w:hAnsi="Arial" w:cs="Arial"/>
          <w:sz w:val="22"/>
        </w:rPr>
        <w:t xml:space="preserve">Dans FNE ne parle t'on pas des illectrés?</w:t>
      </w:r>
    </w:p>
  </w:comment>
</w:comments>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Jean-pierre SEVAL" w:date="2025-09-30T17:44:51Z">
    <w:p w14:paraId="00000001" w14:textId="00000001">
      <w:pPr>
        <w:spacing w:line="240" w:after="0" w:lineRule="auto" w:before="0"/>
        <w:ind w:firstLine="0" w:left="0" w:right="0"/>
        <w:jc w:val="left"/>
      </w:pPr>
      <w:r>
        <w:rPr>
          <w:rFonts w:eastAsia="Arial" w:ascii="Arial" w:hAnsi="Arial" w:cs="Arial"/>
          <w:sz w:val="22"/>
        </w:rPr>
        <w:t xml:space="preserve">L'Etat qui finance via l'ANCT n'est pas évoqué?</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2" w15:done="0"/>
  <w15:commentEx w15:paraId="00000003" w15:done="0"/>
  <w15:commentEx w15:paraId="00000004" w15:done="0"/>
  <w15:commentEx w15:paraId="00000005" w15:done="0"/>
  <w15:commentEx w15:paraId="00000006" w15:done="0"/>
  <w15:commentEx w15:paraId="00000007" w15:done="0"/>
  <w15:commentEx w15:paraId="00000008" w15:done="0"/>
  <w15:commentEx w15:paraId="00000009" w15:done="0"/>
  <w15:commentEx w15:paraId="0000000A" w15:done="0"/>
  <w15:commentEx w15:paraId="0000000C" w15:done="0"/>
</w15:commentsEx>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sEx>
</file>

<file path=word/commentsIds.xml><?xml version="1.0" encoding="utf-8"?>
<w16cid:commentsIds xmlns:mc="http://schemas.openxmlformats.org/markup-compatibility/2006" xmlns:w16cid="http://schemas.microsoft.com/office/word/2016/wordml/cid" mc:Ignorable="w16cid">
  <w16cid:commentId w16cid:paraId="00000001" w16cid:durableId="51AD53A0"/>
  <w16cid:commentId w16cid:paraId="00000002" w16cid:durableId="3AC73105"/>
  <w16cid:commentId w16cid:paraId="00000003" w16cid:durableId="3A79EB74"/>
  <w16cid:commentId w16cid:paraId="00000004" w16cid:durableId="6DC5D83C"/>
  <w16cid:commentId w16cid:paraId="00000005" w16cid:durableId="60FFCF08"/>
  <w16cid:commentId w16cid:paraId="00000006" w16cid:durableId="0709198C"/>
  <w16cid:commentId w16cid:paraId="00000007" w16cid:durableId="029C0223"/>
  <w16cid:commentId w16cid:paraId="00000008" w16cid:durableId="22815C0F"/>
  <w16cid:commentId w16cid:paraId="00000009" w16cid:durableId="1CFC8802"/>
  <w16cid:commentId w16cid:paraId="0000000A" w16cid:durableId="13F19796"/>
  <w16cid:commentId w16cid:paraId="0000000C" w16cid:durableId="6BEC96AF"/>
</w16cid:commentsIds>
</file>

<file path=word/commentsIdsDocument.xml><?xml version="1.0" encoding="utf-8"?>
<w16cid:commentsIds xmlns:mc="http://schemas.openxmlformats.org/markup-compatibility/2006" xmlns:w16cid="http://schemas.microsoft.com/office/word/2016/wordml/cid" mc:Ignorable="w16cid">
  <w16cid:commentId w16cid:paraId="00000001" w16cid:durableId="1FEDE14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eorgia">
    <w:panose1 w:val="02040502050405020303"/>
  </w:font>
  <w:font w:name="Arial">
    <w:panose1 w:val="020B0604020202020204"/>
  </w:font>
  <w:font w:name="Calibri">
    <w:panose1 w:val="020F0502020204030204"/>
  </w:font>
  <w:font w:name="Times New Roman">
    <w:panose1 w:val="020206030504050203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1">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2">
    <w:lvl w:ilvl="0">
      <w:isLgl w:val="false"/>
      <w:lvlJc w:val="left"/>
      <w:lvlText/>
      <w:numFmt w:val="bullet"/>
      <w:pPr>
        <w:pBdr/>
        <w:spacing/>
        <w:ind w:hanging="360" w:left="720"/>
      </w:pPr>
      <w:rPr>
        <w:u w:val="none"/>
      </w:rPr>
      <w:start w:val="1"/>
      <w:suff w:val="tab"/>
    </w:lvl>
    <w:lvl w:ilvl="1">
      <w:isLgl w:val="false"/>
      <w:lvlJc w:val="left"/>
      <w:lvlText/>
      <w:numFmt w:val="bullet"/>
      <w:pPr>
        <w:pBdr/>
        <w:spacing/>
        <w:ind w:hanging="360" w:left="1440"/>
      </w:pPr>
      <w:rPr>
        <w:u w:val="none"/>
      </w:rPr>
      <w:start w:val="1"/>
      <w:suff w:val="tab"/>
    </w:lvl>
    <w:lvl w:ilvl="2">
      <w:isLgl w:val="false"/>
      <w:lvlJc w:val="left"/>
      <w:lvlText/>
      <w:numFmt w:val="bullet"/>
      <w:pPr>
        <w:pBdr/>
        <w:spacing/>
        <w:ind w:hanging="360" w:left="2160"/>
      </w:pPr>
      <w:rPr>
        <w:u w:val="none"/>
      </w:rPr>
      <w:start w:val="1"/>
      <w:suff w:val="tab"/>
    </w:lvl>
    <w:lvl w:ilvl="3">
      <w:isLgl w:val="false"/>
      <w:lvlJc w:val="left"/>
      <w:lvlText/>
      <w:numFmt w:val="bullet"/>
      <w:pPr>
        <w:pBdr/>
        <w:spacing/>
        <w:ind w:hanging="360" w:left="2880"/>
      </w:pPr>
      <w:rPr>
        <w:u w:val="none"/>
      </w:rPr>
      <w:start w:val="1"/>
      <w:suff w:val="tab"/>
    </w:lvl>
    <w:lvl w:ilvl="4">
      <w:isLgl w:val="false"/>
      <w:lvlJc w:val="left"/>
      <w:lvlText/>
      <w:numFmt w:val="bullet"/>
      <w:pPr>
        <w:pBdr/>
        <w:spacing/>
        <w:ind w:hanging="360" w:left="3600"/>
      </w:pPr>
      <w:rPr>
        <w:u w:val="none"/>
      </w:rPr>
      <w:start w:val="1"/>
      <w:suff w:val="tab"/>
    </w:lvl>
    <w:lvl w:ilvl="5">
      <w:isLgl w:val="false"/>
      <w:lvlJc w:val="left"/>
      <w:lvlText/>
      <w:numFmt w:val="bullet"/>
      <w:pPr>
        <w:pBdr/>
        <w:spacing/>
        <w:ind w:hanging="360" w:left="4320"/>
      </w:pPr>
      <w:rPr>
        <w:u w:val="none"/>
      </w:rPr>
      <w:start w:val="1"/>
      <w:suff w:val="tab"/>
    </w:lvl>
    <w:lvl w:ilvl="6">
      <w:isLgl w:val="false"/>
      <w:lvlJc w:val="left"/>
      <w:lvlText/>
      <w:numFmt w:val="bullet"/>
      <w:pPr>
        <w:pBdr/>
        <w:spacing/>
        <w:ind w:hanging="360" w:left="5040"/>
      </w:pPr>
      <w:rPr>
        <w:u w:val="none"/>
      </w:rPr>
      <w:start w:val="1"/>
      <w:suff w:val="tab"/>
    </w:lvl>
    <w:lvl w:ilvl="7">
      <w:isLgl w:val="false"/>
      <w:lvlJc w:val="left"/>
      <w:lvlText/>
      <w:numFmt w:val="bullet"/>
      <w:pPr>
        <w:pBdr/>
        <w:spacing/>
        <w:ind w:hanging="360" w:left="5760"/>
      </w:pPr>
      <w:rPr>
        <w:u w:val="none"/>
      </w:rPr>
      <w:start w:val="1"/>
      <w:suff w:val="tab"/>
    </w:lvl>
    <w:lvl w:ilvl="8">
      <w:isLgl w:val="false"/>
      <w:lvlJc w:val="left"/>
      <w:lvlText/>
      <w:numFmt w:val="bullet"/>
      <w:pPr>
        <w:pBdr/>
        <w:spacing/>
        <w:ind w:hanging="360" w:left="6480"/>
      </w:pPr>
      <w:rPr>
        <w:u w:val="none"/>
      </w:rPr>
      <w:start w:val="1"/>
      <w:suff w:val="tab"/>
    </w:lvl>
  </w:abstractNum>
  <w:abstractNum w:abstractNumId="3">
    <w:lvl w:ilvl="0">
      <w:isLgl w:val="false"/>
      <w:lvlJc w:val="left"/>
      <w:lvlText/>
      <w:numFmt w:val="bullet"/>
      <w:pPr>
        <w:pBdr/>
        <w:spacing/>
        <w:ind w:hanging="360" w:left="720"/>
      </w:pPr>
      <w:rPr>
        <w:u w:val="none"/>
      </w:rPr>
      <w:start w:val="1"/>
      <w:suff w:val="tab"/>
    </w:lvl>
    <w:lvl w:ilvl="1">
      <w:isLgl w:val="false"/>
      <w:lvlJc w:val="left"/>
      <w:lvlText/>
      <w:numFmt w:val="bullet"/>
      <w:pPr>
        <w:pBdr/>
        <w:spacing/>
        <w:ind w:hanging="360" w:left="1440"/>
      </w:pPr>
      <w:rPr>
        <w:u w:val="none"/>
      </w:rPr>
      <w:start w:val="1"/>
      <w:suff w:val="tab"/>
    </w:lvl>
    <w:lvl w:ilvl="2">
      <w:isLgl w:val="false"/>
      <w:lvlJc w:val="left"/>
      <w:lvlText/>
      <w:numFmt w:val="bullet"/>
      <w:pPr>
        <w:pBdr/>
        <w:spacing/>
        <w:ind w:hanging="360" w:left="2160"/>
      </w:pPr>
      <w:rPr>
        <w:u w:val="none"/>
      </w:rPr>
      <w:start w:val="1"/>
      <w:suff w:val="tab"/>
    </w:lvl>
    <w:lvl w:ilvl="3">
      <w:isLgl w:val="false"/>
      <w:lvlJc w:val="left"/>
      <w:lvlText/>
      <w:numFmt w:val="bullet"/>
      <w:pPr>
        <w:pBdr/>
        <w:spacing/>
        <w:ind w:hanging="360" w:left="2880"/>
      </w:pPr>
      <w:rPr>
        <w:u w:val="none"/>
      </w:rPr>
      <w:start w:val="1"/>
      <w:suff w:val="tab"/>
    </w:lvl>
    <w:lvl w:ilvl="4">
      <w:isLgl w:val="false"/>
      <w:lvlJc w:val="left"/>
      <w:lvlText/>
      <w:numFmt w:val="bullet"/>
      <w:pPr>
        <w:pBdr/>
        <w:spacing/>
        <w:ind w:hanging="360" w:left="3600"/>
      </w:pPr>
      <w:rPr>
        <w:u w:val="none"/>
      </w:rPr>
      <w:start w:val="1"/>
      <w:suff w:val="tab"/>
    </w:lvl>
    <w:lvl w:ilvl="5">
      <w:isLgl w:val="false"/>
      <w:lvlJc w:val="left"/>
      <w:lvlText/>
      <w:numFmt w:val="bullet"/>
      <w:pPr>
        <w:pBdr/>
        <w:spacing/>
        <w:ind w:hanging="360" w:left="4320"/>
      </w:pPr>
      <w:rPr>
        <w:u w:val="none"/>
      </w:rPr>
      <w:start w:val="1"/>
      <w:suff w:val="tab"/>
    </w:lvl>
    <w:lvl w:ilvl="6">
      <w:isLgl w:val="false"/>
      <w:lvlJc w:val="left"/>
      <w:lvlText/>
      <w:numFmt w:val="bullet"/>
      <w:pPr>
        <w:pBdr/>
        <w:spacing/>
        <w:ind w:hanging="360" w:left="5040"/>
      </w:pPr>
      <w:rPr>
        <w:u w:val="none"/>
      </w:rPr>
      <w:start w:val="1"/>
      <w:suff w:val="tab"/>
    </w:lvl>
    <w:lvl w:ilvl="7">
      <w:isLgl w:val="false"/>
      <w:lvlJc w:val="left"/>
      <w:lvlText/>
      <w:numFmt w:val="bullet"/>
      <w:pPr>
        <w:pBdr/>
        <w:spacing/>
        <w:ind w:hanging="360" w:left="5760"/>
      </w:pPr>
      <w:rPr>
        <w:u w:val="none"/>
      </w:rPr>
      <w:start w:val="1"/>
      <w:suff w:val="tab"/>
    </w:lvl>
    <w:lvl w:ilvl="8">
      <w:isLgl w:val="false"/>
      <w:lvlJc w:val="left"/>
      <w:lvlText/>
      <w:numFmt w:val="bullet"/>
      <w:pPr>
        <w:pBdr/>
        <w:spacing/>
        <w:ind w:hanging="360" w:left="6480"/>
      </w:pPr>
      <w:rPr>
        <w:u w:val="none"/>
      </w:rPr>
      <w:start w:val="1"/>
      <w:suff w:val="tab"/>
    </w:lvl>
  </w:abstractNum>
  <w:abstractNum w:abstractNumId="4">
    <w:lvl w:ilvl="0">
      <w:isLgl w:val="false"/>
      <w:lvlJc w:val="left"/>
      <w:lvlText/>
      <w:numFmt w:val="bullet"/>
      <w:pPr>
        <w:pBdr/>
        <w:spacing/>
        <w:ind w:hanging="360" w:left="720"/>
      </w:pPr>
      <w:rPr>
        <w:u w:val="none"/>
      </w:rPr>
      <w:start w:val="1"/>
      <w:suff w:val="tab"/>
    </w:lvl>
    <w:lvl w:ilvl="1">
      <w:isLgl w:val="false"/>
      <w:lvlJc w:val="left"/>
      <w:lvlText/>
      <w:numFmt w:val="bullet"/>
      <w:pPr>
        <w:pBdr/>
        <w:spacing/>
        <w:ind w:hanging="360" w:left="1440"/>
      </w:pPr>
      <w:rPr>
        <w:u w:val="none"/>
      </w:rPr>
      <w:start w:val="1"/>
      <w:suff w:val="tab"/>
    </w:lvl>
    <w:lvl w:ilvl="2">
      <w:isLgl w:val="false"/>
      <w:lvlJc w:val="left"/>
      <w:lvlText/>
      <w:numFmt w:val="bullet"/>
      <w:pPr>
        <w:pBdr/>
        <w:spacing/>
        <w:ind w:hanging="360" w:left="2160"/>
      </w:pPr>
      <w:rPr>
        <w:u w:val="none"/>
      </w:rPr>
      <w:start w:val="1"/>
      <w:suff w:val="tab"/>
    </w:lvl>
    <w:lvl w:ilvl="3">
      <w:isLgl w:val="false"/>
      <w:lvlJc w:val="left"/>
      <w:lvlText/>
      <w:numFmt w:val="bullet"/>
      <w:pPr>
        <w:pBdr/>
        <w:spacing/>
        <w:ind w:hanging="360" w:left="2880"/>
      </w:pPr>
      <w:rPr>
        <w:u w:val="none"/>
      </w:rPr>
      <w:start w:val="1"/>
      <w:suff w:val="tab"/>
    </w:lvl>
    <w:lvl w:ilvl="4">
      <w:isLgl w:val="false"/>
      <w:lvlJc w:val="left"/>
      <w:lvlText/>
      <w:numFmt w:val="bullet"/>
      <w:pPr>
        <w:pBdr/>
        <w:spacing/>
        <w:ind w:hanging="360" w:left="3600"/>
      </w:pPr>
      <w:rPr>
        <w:u w:val="none"/>
      </w:rPr>
      <w:start w:val="1"/>
      <w:suff w:val="tab"/>
    </w:lvl>
    <w:lvl w:ilvl="5">
      <w:isLgl w:val="false"/>
      <w:lvlJc w:val="left"/>
      <w:lvlText/>
      <w:numFmt w:val="bullet"/>
      <w:pPr>
        <w:pBdr/>
        <w:spacing/>
        <w:ind w:hanging="360" w:left="4320"/>
      </w:pPr>
      <w:rPr>
        <w:u w:val="none"/>
      </w:rPr>
      <w:start w:val="1"/>
      <w:suff w:val="tab"/>
    </w:lvl>
    <w:lvl w:ilvl="6">
      <w:isLgl w:val="false"/>
      <w:lvlJc w:val="left"/>
      <w:lvlText/>
      <w:numFmt w:val="bullet"/>
      <w:pPr>
        <w:pBdr/>
        <w:spacing/>
        <w:ind w:hanging="360" w:left="5040"/>
      </w:pPr>
      <w:rPr>
        <w:u w:val="none"/>
      </w:rPr>
      <w:start w:val="1"/>
      <w:suff w:val="tab"/>
    </w:lvl>
    <w:lvl w:ilvl="7">
      <w:isLgl w:val="false"/>
      <w:lvlJc w:val="left"/>
      <w:lvlText/>
      <w:numFmt w:val="bullet"/>
      <w:pPr>
        <w:pBdr/>
        <w:spacing/>
        <w:ind w:hanging="360" w:left="5760"/>
      </w:pPr>
      <w:rPr>
        <w:u w:val="none"/>
      </w:rPr>
      <w:start w:val="1"/>
      <w:suff w:val="tab"/>
    </w:lvl>
    <w:lvl w:ilvl="8">
      <w:isLgl w:val="false"/>
      <w:lvlJc w:val="left"/>
      <w:lvlText/>
      <w:numFmt w:val="bullet"/>
      <w:pPr>
        <w:pBdr/>
        <w:spacing/>
        <w:ind w:hanging="360" w:left="6480"/>
      </w:pPr>
      <w:rPr>
        <w:u w:val="none"/>
      </w:rPr>
      <w:start w:val="1"/>
      <w:suff w:val="tab"/>
    </w:lvl>
  </w:abstractNum>
  <w:abstractNum w:abstractNumId="5">
    <w:lvl w:ilvl="0">
      <w:isLgl w:val="false"/>
      <w:lvlJc w:val="left"/>
      <w:lvlText/>
      <w:numFmt w:val="bullet"/>
      <w:pPr>
        <w:pBdr/>
        <w:spacing/>
        <w:ind w:hanging="360" w:left="720"/>
      </w:pPr>
      <w:rPr>
        <w:u w:val="none"/>
      </w:rPr>
      <w:start w:val="1"/>
      <w:suff w:val="tab"/>
    </w:lvl>
    <w:lvl w:ilvl="1">
      <w:isLgl w:val="false"/>
      <w:lvlJc w:val="left"/>
      <w:lvlText/>
      <w:numFmt w:val="bullet"/>
      <w:pPr>
        <w:pBdr/>
        <w:spacing/>
        <w:ind w:hanging="360" w:left="1440"/>
      </w:pPr>
      <w:rPr>
        <w:u w:val="none"/>
      </w:rPr>
      <w:start w:val="1"/>
      <w:suff w:val="tab"/>
    </w:lvl>
    <w:lvl w:ilvl="2">
      <w:isLgl w:val="false"/>
      <w:lvlJc w:val="left"/>
      <w:lvlText/>
      <w:numFmt w:val="bullet"/>
      <w:pPr>
        <w:pBdr/>
        <w:spacing/>
        <w:ind w:hanging="360" w:left="2160"/>
      </w:pPr>
      <w:rPr>
        <w:u w:val="none"/>
      </w:rPr>
      <w:start w:val="1"/>
      <w:suff w:val="tab"/>
    </w:lvl>
    <w:lvl w:ilvl="3">
      <w:isLgl w:val="false"/>
      <w:lvlJc w:val="left"/>
      <w:lvlText/>
      <w:numFmt w:val="bullet"/>
      <w:pPr>
        <w:pBdr/>
        <w:spacing/>
        <w:ind w:hanging="360" w:left="2880"/>
      </w:pPr>
      <w:rPr>
        <w:u w:val="none"/>
      </w:rPr>
      <w:start w:val="1"/>
      <w:suff w:val="tab"/>
    </w:lvl>
    <w:lvl w:ilvl="4">
      <w:isLgl w:val="false"/>
      <w:lvlJc w:val="left"/>
      <w:lvlText/>
      <w:numFmt w:val="bullet"/>
      <w:pPr>
        <w:pBdr/>
        <w:spacing/>
        <w:ind w:hanging="360" w:left="3600"/>
      </w:pPr>
      <w:rPr>
        <w:u w:val="none"/>
      </w:rPr>
      <w:start w:val="1"/>
      <w:suff w:val="tab"/>
    </w:lvl>
    <w:lvl w:ilvl="5">
      <w:isLgl w:val="false"/>
      <w:lvlJc w:val="left"/>
      <w:lvlText/>
      <w:numFmt w:val="bullet"/>
      <w:pPr>
        <w:pBdr/>
        <w:spacing/>
        <w:ind w:hanging="360" w:left="4320"/>
      </w:pPr>
      <w:rPr>
        <w:u w:val="none"/>
      </w:rPr>
      <w:start w:val="1"/>
      <w:suff w:val="tab"/>
    </w:lvl>
    <w:lvl w:ilvl="6">
      <w:isLgl w:val="false"/>
      <w:lvlJc w:val="left"/>
      <w:lvlText/>
      <w:numFmt w:val="bullet"/>
      <w:pPr>
        <w:pBdr/>
        <w:spacing/>
        <w:ind w:hanging="360" w:left="5040"/>
      </w:pPr>
      <w:rPr>
        <w:u w:val="none"/>
      </w:rPr>
      <w:start w:val="1"/>
      <w:suff w:val="tab"/>
    </w:lvl>
    <w:lvl w:ilvl="7">
      <w:isLgl w:val="false"/>
      <w:lvlJc w:val="left"/>
      <w:lvlText/>
      <w:numFmt w:val="bullet"/>
      <w:pPr>
        <w:pBdr/>
        <w:spacing/>
        <w:ind w:hanging="360" w:left="5760"/>
      </w:pPr>
      <w:rPr>
        <w:u w:val="none"/>
      </w:rPr>
      <w:start w:val="1"/>
      <w:suff w:val="tab"/>
    </w:lvl>
    <w:lvl w:ilvl="8">
      <w:isLgl w:val="false"/>
      <w:lvlJc w:val="left"/>
      <w:lvlText/>
      <w:numFmt w:val="bullet"/>
      <w:pPr>
        <w:pBdr/>
        <w:spacing/>
        <w:ind w:hanging="360" w:left="6480"/>
      </w:pPr>
      <w:rPr>
        <w:u w:val="none"/>
      </w:rPr>
      <w:start w:val="1"/>
      <w:suff w:val="tab"/>
    </w:lvl>
  </w:abstractNum>
  <w:abstractNum w:abstractNumId="6">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7">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Calibri" w:cs="Calibri"/>
        <w:sz w:val="22"/>
        <w:szCs w:val="22"/>
        <w:lang w:val="fr-FR" w:eastAsia="zh-CN" w:bidi="ar-SA"/>
      </w:rPr>
    </w:rPrDefault>
    <w:pPrDefault>
      <w:pPr>
        <w:pBdr/>
        <w:spacing w:after="200" w:afterAutospacing="0" w:before="0" w:beforeAutospacing="0" w:line="276"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19"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Table Grid"/>
    <w:basedOn w:val="719"/>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Table Grid Light"/>
    <w:basedOn w:val="719"/>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Plain Table 1"/>
    <w:basedOn w:val="719"/>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Plain Table 2"/>
    <w:basedOn w:val="719"/>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Plain Table 3"/>
    <w:basedOn w:val="719"/>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Plain Table 4"/>
    <w:basedOn w:val="719"/>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Plain Table 5"/>
    <w:basedOn w:val="719"/>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1 Light"/>
    <w:basedOn w:val="719"/>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1 Light - Accent 1"/>
    <w:basedOn w:val="719"/>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1 Light - Accent 2"/>
    <w:basedOn w:val="719"/>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1 Light - Accent 3"/>
    <w:basedOn w:val="719"/>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1 Light - Accent 4"/>
    <w:basedOn w:val="719"/>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1 Light - Accent 5"/>
    <w:basedOn w:val="719"/>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1 Light - Accent 6"/>
    <w:basedOn w:val="719"/>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2"/>
    <w:basedOn w:val="719"/>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2 - Accent 1"/>
    <w:basedOn w:val="719"/>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2 - Accent 2"/>
    <w:basedOn w:val="719"/>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2 - Accent 3"/>
    <w:basedOn w:val="719"/>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2 - Accent 4"/>
    <w:basedOn w:val="719"/>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2 - Accent 5"/>
    <w:basedOn w:val="719"/>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2 - Accent 6"/>
    <w:basedOn w:val="719"/>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3"/>
    <w:basedOn w:val="719"/>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3 - Accent 1"/>
    <w:basedOn w:val="719"/>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3 - Accent 2"/>
    <w:basedOn w:val="719"/>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3 - Accent 3"/>
    <w:basedOn w:val="719"/>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3 - Accent 4"/>
    <w:basedOn w:val="719"/>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3 - Accent 5"/>
    <w:basedOn w:val="719"/>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3 - Accent 6"/>
    <w:basedOn w:val="719"/>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4"/>
    <w:basedOn w:val="719"/>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4 - Accent 1"/>
    <w:basedOn w:val="719"/>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4 - Accent 2"/>
    <w:basedOn w:val="719"/>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4 - Accent 3"/>
    <w:basedOn w:val="719"/>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4 - Accent 4"/>
    <w:basedOn w:val="719"/>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4 - Accent 5"/>
    <w:basedOn w:val="719"/>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4 - Accent 6"/>
    <w:basedOn w:val="719"/>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5 Dark"/>
    <w:basedOn w:val="7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5 Dark- Accent 1"/>
    <w:basedOn w:val="7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5 Dark - Accent 2"/>
    <w:basedOn w:val="7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5 Dark - Accent 3"/>
    <w:basedOn w:val="7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5 Dark- Accent 4"/>
    <w:basedOn w:val="7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5 Dark - Accent 5"/>
    <w:basedOn w:val="7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5 Dark - Accent 6"/>
    <w:basedOn w:val="7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Grid Table 6 Colorful"/>
    <w:basedOn w:val="719"/>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63">
    <w:name w:val="Grid Table 6 Colorful - Accent 1"/>
    <w:basedOn w:val="719"/>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64">
    <w:name w:val="Grid Table 6 Colorful - Accent 2"/>
    <w:basedOn w:val="719"/>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65">
    <w:name w:val="Grid Table 6 Colorful - Accent 3"/>
    <w:basedOn w:val="719"/>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32f" w:themeColor="accent3" w:themeTint="FE" w:themeShade="95"/>
      </w:rPr>
      <w:pPr>
        <w:pBdr/>
        <w:spacing/>
        <w:ind/>
      </w:pPr>
      <w:tblPr>
        <w:tblBorders/>
      </w:tblPr>
      <w:tcPr>
        <w:tcBorders/>
      </w:tcPr>
    </w:tblStylePr>
    <w:tblStylePr w:type="firstRow">
      <w:rPr>
        <w:b/>
        <w:color w:val="5c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32f" w:themeColor="accent3" w:themeTint="FE" w:themeShade="95"/>
      </w:rPr>
      <w:pPr>
        <w:pBdr/>
        <w:spacing/>
        <w:ind/>
      </w:pPr>
      <w:tblPr>
        <w:tblBorders/>
      </w:tblPr>
      <w:tcPr>
        <w:tcBorders/>
      </w:tcPr>
    </w:tblStylePr>
    <w:tblStylePr w:type="lastRow">
      <w:rPr>
        <w:b/>
        <w:color w:val="5c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66">
    <w:name w:val="Grid Table 6 Colorful - Accent 4"/>
    <w:basedOn w:val="719"/>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67">
    <w:name w:val="Grid Table 6 Colorful - Accent 5"/>
    <w:basedOn w:val="719"/>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68">
    <w:name w:val="Grid Table 6 Colorful - Accent 6"/>
    <w:basedOn w:val="719"/>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69">
    <w:name w:val="Grid Table 7 Colorful"/>
    <w:basedOn w:val="719"/>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Grid Table 7 Colorful - Accent 1"/>
    <w:basedOn w:val="719"/>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Grid Table 7 Colorful - Accent 2"/>
    <w:basedOn w:val="719"/>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Grid Table 7 Colorful - Accent 3"/>
    <w:basedOn w:val="719"/>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c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Grid Table 7 Colorful - Accent 4"/>
    <w:basedOn w:val="719"/>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Grid Table 7 Colorful - Accent 5"/>
    <w:basedOn w:val="719"/>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Grid Table 7 Colorful - Accent 6"/>
    <w:basedOn w:val="719"/>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1 Light"/>
    <w:basedOn w:val="7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st Table 1 Light - Accent 1"/>
    <w:basedOn w:val="7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1 Light - Accent 2"/>
    <w:basedOn w:val="7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1 Light - Accent 3"/>
    <w:basedOn w:val="7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1 Light - Accent 4"/>
    <w:basedOn w:val="7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1 Light - Accent 5"/>
    <w:basedOn w:val="7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1 Light - Accent 6"/>
    <w:basedOn w:val="7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2"/>
    <w:basedOn w:val="719"/>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2 - Accent 1"/>
    <w:basedOn w:val="719"/>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2 - Accent 2"/>
    <w:basedOn w:val="719"/>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2 - Accent 3"/>
    <w:basedOn w:val="719"/>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2 - Accent 4"/>
    <w:basedOn w:val="719"/>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2 - Accent 5"/>
    <w:basedOn w:val="719"/>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2 - Accent 6"/>
    <w:basedOn w:val="719"/>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3"/>
    <w:basedOn w:val="719"/>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3 - Accent 1"/>
    <w:basedOn w:val="719"/>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List Table 3 - Accent 2"/>
    <w:basedOn w:val="719"/>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3 - Accent 3"/>
    <w:basedOn w:val="719"/>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3 - Accent 4"/>
    <w:basedOn w:val="719"/>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3 - Accent 5"/>
    <w:basedOn w:val="719"/>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3 - Accent 6"/>
    <w:basedOn w:val="719"/>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4"/>
    <w:basedOn w:val="719"/>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4 - Accent 1"/>
    <w:basedOn w:val="719"/>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4 - Accent 2"/>
    <w:basedOn w:val="719"/>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4 - Accent 3"/>
    <w:basedOn w:val="719"/>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List Table 4 - Accent 4"/>
    <w:basedOn w:val="719"/>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List Table 4 - Accent 5"/>
    <w:basedOn w:val="719"/>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4 - Accent 6"/>
    <w:basedOn w:val="719"/>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5 Dark"/>
    <w:basedOn w:val="719"/>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5">
    <w:name w:val="List Table 5 Dark - Accent 1"/>
    <w:basedOn w:val="719"/>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6">
    <w:name w:val="List Table 5 Dark - Accent 2"/>
    <w:basedOn w:val="719"/>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7">
    <w:name w:val="List Table 5 Dark - Accent 3"/>
    <w:basedOn w:val="719"/>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8">
    <w:name w:val="List Table 5 Dark - Accent 4"/>
    <w:basedOn w:val="719"/>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9">
    <w:name w:val="List Table 5 Dark - Accent 5"/>
    <w:basedOn w:val="719"/>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0">
    <w:name w:val="List Table 5 Dark - Accent 6"/>
    <w:basedOn w:val="719"/>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1">
    <w:name w:val="List Table 6 Colorful"/>
    <w:basedOn w:val="719"/>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st Table 6 Colorful - Accent 1"/>
    <w:basedOn w:val="719"/>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List Table 6 Colorful - Accent 2"/>
    <w:basedOn w:val="719"/>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List Table 6 Colorful - Accent 3"/>
    <w:basedOn w:val="719"/>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93f" w:themeColor="accent3" w:themeTint="98" w:themeShade="95"/>
      </w:rPr>
      <w:pPr>
        <w:pBdr/>
        <w:spacing/>
        <w:ind/>
      </w:pPr>
      <w:tblPr>
        <w:tblBorders/>
      </w:tblPr>
      <w:tcPr>
        <w:tcBorders/>
      </w:tcPr>
    </w:tblStylePr>
    <w:tblStylePr w:type="firstRow">
      <w:rPr>
        <w:b/>
        <w:color w:val="7c99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93f" w:themeColor="accent3" w:themeTint="98" w:themeShade="95"/>
      </w:rPr>
      <w:pPr>
        <w:pBdr/>
        <w:spacing/>
        <w:ind/>
      </w:pPr>
      <w:tblPr>
        <w:tblBorders/>
      </w:tblPr>
      <w:tcPr>
        <w:tcBorders/>
      </w:tcPr>
    </w:tblStylePr>
    <w:tblStylePr w:type="lastRow">
      <w:rPr>
        <w:b/>
        <w:color w:val="7c99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List Table 6 Colorful - Accent 4"/>
    <w:basedOn w:val="719"/>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List Table 6 Colorful - Accent 5"/>
    <w:basedOn w:val="719"/>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ba3" w:themeColor="accent5" w:themeTint="9A" w:themeShade="95"/>
      </w:rPr>
      <w:pPr>
        <w:pBdr/>
        <w:spacing/>
        <w:ind/>
      </w:pPr>
      <w:tblPr>
        <w:tblBorders/>
      </w:tblPr>
      <w:tcPr>
        <w:tcBorders/>
      </w:tcPr>
    </w:tblStylePr>
    <w:tblStylePr w:type="firstRow">
      <w:rPr>
        <w:b/>
        <w:color w:val="33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38ba3" w:themeColor="accent5" w:themeTint="9A" w:themeShade="95"/>
      </w:rPr>
      <w:pPr>
        <w:pBdr/>
        <w:spacing/>
        <w:ind/>
      </w:pPr>
      <w:tblPr>
        <w:tblBorders/>
      </w:tblPr>
      <w:tcPr>
        <w:tcBorders/>
      </w:tcPr>
    </w:tblStylePr>
    <w:tblStylePr w:type="lastRow">
      <w:rPr>
        <w:b/>
        <w:color w:val="33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List Table 6 Colorful - Accent 6"/>
    <w:basedOn w:val="719"/>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80a" w:themeColor="accent6" w:themeTint="98" w:themeShade="95"/>
      </w:rPr>
      <w:pPr>
        <w:pBdr/>
        <w:spacing/>
        <w:ind/>
      </w:pPr>
      <w:tblPr>
        <w:tblBorders/>
      </w:tblPr>
      <w:tcPr>
        <w:tcBorders/>
      </w:tcPr>
    </w:tblStylePr>
    <w:tblStylePr w:type="firstRow">
      <w:rPr>
        <w:b/>
        <w:color w:val="dd68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80a" w:themeColor="accent6" w:themeTint="98" w:themeShade="95"/>
      </w:rPr>
      <w:pPr>
        <w:pBdr/>
        <w:spacing/>
        <w:ind/>
      </w:pPr>
      <w:tblPr>
        <w:tblBorders/>
      </w:tblPr>
      <w:tcPr>
        <w:tcBorders/>
      </w:tcPr>
    </w:tblStylePr>
    <w:tblStylePr w:type="lastRow">
      <w:rPr>
        <w:b/>
        <w:color w:val="dd68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List Table 7 Colorful"/>
    <w:basedOn w:val="719"/>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19">
    <w:name w:val="List Table 7 Colorful - Accent 1"/>
    <w:basedOn w:val="719"/>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820">
    <w:name w:val="List Table 7 Colorful - Accent 2"/>
    <w:basedOn w:val="719"/>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a38" w:themeColor="accent2" w:themeTint="97" w:themeShade="95"/>
        <w:sz w:val="22"/>
      </w:rPr>
      <w:pPr>
        <w:pBdr/>
        <w:spacing/>
        <w:ind/>
      </w:pPr>
      <w:tblPr>
        <w:tblBorders/>
      </w:tblPr>
      <w:tcPr>
        <w:tcBorders/>
      </w:tcPr>
    </w:tblStylePr>
  </w:style>
  <w:style w:type="table" w:styleId="821">
    <w:name w:val="List Table 7 Colorful - Accent 3"/>
    <w:basedOn w:val="719"/>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9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9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9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9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93f" w:themeColor="accent3" w:themeTint="98" w:themeShade="95"/>
        <w:sz w:val="22"/>
      </w:rPr>
      <w:pPr>
        <w:pBdr/>
        <w:spacing/>
        <w:ind/>
      </w:pPr>
      <w:tblPr>
        <w:tblBorders/>
      </w:tblPr>
      <w:tcPr>
        <w:tcBorders/>
      </w:tcPr>
    </w:tblStylePr>
  </w:style>
  <w:style w:type="table" w:styleId="822">
    <w:name w:val="List Table 7 Colorful - Accent 4"/>
    <w:basedOn w:val="719"/>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4" w:themeColor="accent4" w:themeTint="9A" w:themeShade="95"/>
        <w:sz w:val="22"/>
      </w:rPr>
      <w:pPr>
        <w:pBdr/>
        <w:spacing/>
        <w:ind/>
      </w:pPr>
      <w:tblPr>
        <w:tblBorders/>
      </w:tblPr>
      <w:tcPr>
        <w:tcBorders/>
      </w:tcPr>
    </w:tblStylePr>
  </w:style>
  <w:style w:type="table" w:styleId="823">
    <w:name w:val="List Table 7 Colorful - Accent 5"/>
    <w:basedOn w:val="719"/>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3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ba3" w:themeColor="accent5" w:themeTint="9A" w:themeShade="95"/>
        <w:sz w:val="22"/>
      </w:rPr>
      <w:pPr>
        <w:pBdr/>
        <w:spacing/>
        <w:ind/>
      </w:pPr>
      <w:tblPr>
        <w:tblBorders/>
      </w:tblPr>
      <w:tcPr>
        <w:tcBorders/>
      </w:tcPr>
    </w:tblStylePr>
  </w:style>
  <w:style w:type="table" w:styleId="824">
    <w:name w:val="List Table 7 Colorful - Accent 6"/>
    <w:basedOn w:val="719"/>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8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8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8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8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80a" w:themeColor="accent6" w:themeTint="98" w:themeShade="95"/>
        <w:sz w:val="22"/>
      </w:rPr>
      <w:pPr>
        <w:pBdr/>
        <w:spacing/>
        <w:ind/>
      </w:pPr>
      <w:tblPr>
        <w:tblBorders/>
      </w:tblPr>
      <w:tcPr>
        <w:tcBorders/>
      </w:tcPr>
    </w:tblStylePr>
  </w:style>
  <w:style w:type="table" w:styleId="825">
    <w:name w:val="Lined - Accent"/>
    <w:basedOn w:val="7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Lined - Accent 1"/>
    <w:basedOn w:val="7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Lined - Accent 2"/>
    <w:basedOn w:val="7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Lined - Accent 3"/>
    <w:basedOn w:val="7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Lined - Accent 4"/>
    <w:basedOn w:val="7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Lined - Accent 5"/>
    <w:basedOn w:val="7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Lined - Accent 6"/>
    <w:basedOn w:val="7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Bordered &amp; Lined - Accent"/>
    <w:basedOn w:val="719"/>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Bordered &amp; Lined - Accent 1"/>
    <w:basedOn w:val="719"/>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Bordered &amp; Lined - Accent 2"/>
    <w:basedOn w:val="719"/>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Bordered &amp; Lined - Accent 3"/>
    <w:basedOn w:val="719"/>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Bordered &amp; Lined - Accent 4"/>
    <w:basedOn w:val="719"/>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Bordered &amp; Lined - Accent 5"/>
    <w:basedOn w:val="719"/>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Bordered &amp; Lined - Accent 6"/>
    <w:basedOn w:val="719"/>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Bordered"/>
    <w:basedOn w:val="719"/>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Bordered - Accent 1"/>
    <w:basedOn w:val="719"/>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Bordered - Accent 2"/>
    <w:basedOn w:val="719"/>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Bordered - Accent 3"/>
    <w:basedOn w:val="719"/>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Bordered - Accent 4"/>
    <w:basedOn w:val="719"/>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Bordered - Accent 5"/>
    <w:basedOn w:val="719"/>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Bordered - Accent 6"/>
    <w:basedOn w:val="719"/>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846">
    <w:name w:val="Heading 7"/>
    <w:basedOn w:val="900"/>
    <w:next w:val="900"/>
    <w:link w:val="857"/>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847">
    <w:name w:val="Heading 8"/>
    <w:basedOn w:val="900"/>
    <w:next w:val="900"/>
    <w:link w:val="858"/>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848">
    <w:name w:val="Heading 9"/>
    <w:basedOn w:val="900"/>
    <w:next w:val="900"/>
    <w:link w:val="859"/>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849" w:default="1">
    <w:name w:val="Default Paragraph Font"/>
    <w:uiPriority w:val="1"/>
    <w:semiHidden/>
    <w:unhideWhenUsed/>
    <w:pPr>
      <w:pBdr/>
      <w:spacing/>
      <w:ind/>
    </w:pPr>
  </w:style>
  <w:style w:type="numbering" w:styleId="850" w:default="1">
    <w:name w:val="No List"/>
    <w:uiPriority w:val="99"/>
    <w:semiHidden/>
    <w:unhideWhenUsed/>
    <w:pPr>
      <w:pBdr/>
      <w:spacing/>
      <w:ind/>
    </w:pPr>
  </w:style>
  <w:style w:type="character" w:styleId="851">
    <w:name w:val="Heading 1 Char"/>
    <w:basedOn w:val="849"/>
    <w:link w:val="901"/>
    <w:uiPriority w:val="9"/>
    <w:pPr>
      <w:pBdr/>
      <w:spacing/>
      <w:ind/>
    </w:pPr>
    <w:rPr>
      <w:rFonts w:ascii="Arial" w:hAnsi="Arial" w:eastAsia="Arial" w:cs="Arial"/>
      <w:color w:val="0f4761" w:themeColor="accent1" w:themeShade="BF"/>
      <w:sz w:val="40"/>
      <w:szCs w:val="40"/>
    </w:rPr>
  </w:style>
  <w:style w:type="character" w:styleId="852">
    <w:name w:val="Heading 2 Char"/>
    <w:basedOn w:val="849"/>
    <w:link w:val="902"/>
    <w:uiPriority w:val="9"/>
    <w:pPr>
      <w:pBdr/>
      <w:spacing/>
      <w:ind/>
    </w:pPr>
    <w:rPr>
      <w:rFonts w:ascii="Arial" w:hAnsi="Arial" w:eastAsia="Arial" w:cs="Arial"/>
      <w:color w:val="0f4761" w:themeColor="accent1" w:themeShade="BF"/>
      <w:sz w:val="32"/>
      <w:szCs w:val="32"/>
    </w:rPr>
  </w:style>
  <w:style w:type="character" w:styleId="853">
    <w:name w:val="Heading 3 Char"/>
    <w:basedOn w:val="849"/>
    <w:link w:val="903"/>
    <w:uiPriority w:val="9"/>
    <w:pPr>
      <w:pBdr/>
      <w:spacing/>
      <w:ind/>
    </w:pPr>
    <w:rPr>
      <w:rFonts w:ascii="Arial" w:hAnsi="Arial" w:eastAsia="Arial" w:cs="Arial"/>
      <w:color w:val="0f4761" w:themeColor="accent1" w:themeShade="BF"/>
      <w:sz w:val="28"/>
      <w:szCs w:val="28"/>
    </w:rPr>
  </w:style>
  <w:style w:type="character" w:styleId="854">
    <w:name w:val="Heading 4 Char"/>
    <w:basedOn w:val="849"/>
    <w:link w:val="904"/>
    <w:uiPriority w:val="9"/>
    <w:pPr>
      <w:pBdr/>
      <w:spacing/>
      <w:ind/>
    </w:pPr>
    <w:rPr>
      <w:rFonts w:ascii="Arial" w:hAnsi="Arial" w:eastAsia="Arial" w:cs="Arial"/>
      <w:i/>
      <w:iCs/>
      <w:color w:val="0f4761" w:themeColor="accent1" w:themeShade="BF"/>
    </w:rPr>
  </w:style>
  <w:style w:type="character" w:styleId="855">
    <w:name w:val="Heading 5 Char"/>
    <w:basedOn w:val="849"/>
    <w:link w:val="905"/>
    <w:uiPriority w:val="9"/>
    <w:pPr>
      <w:pBdr/>
      <w:spacing/>
      <w:ind/>
    </w:pPr>
    <w:rPr>
      <w:rFonts w:ascii="Arial" w:hAnsi="Arial" w:eastAsia="Arial" w:cs="Arial"/>
      <w:color w:val="0f4761" w:themeColor="accent1" w:themeShade="BF"/>
    </w:rPr>
  </w:style>
  <w:style w:type="character" w:styleId="856">
    <w:name w:val="Heading 6 Char"/>
    <w:basedOn w:val="849"/>
    <w:link w:val="906"/>
    <w:uiPriority w:val="9"/>
    <w:pPr>
      <w:pBdr/>
      <w:spacing/>
      <w:ind/>
    </w:pPr>
    <w:rPr>
      <w:rFonts w:ascii="Arial" w:hAnsi="Arial" w:eastAsia="Arial" w:cs="Arial"/>
      <w:i/>
      <w:iCs/>
      <w:color w:val="595959" w:themeColor="text1" w:themeTint="A6"/>
    </w:rPr>
  </w:style>
  <w:style w:type="character" w:styleId="857">
    <w:name w:val="Heading 7 Char"/>
    <w:basedOn w:val="849"/>
    <w:link w:val="846"/>
    <w:uiPriority w:val="9"/>
    <w:pPr>
      <w:pBdr/>
      <w:spacing/>
      <w:ind/>
    </w:pPr>
    <w:rPr>
      <w:rFonts w:ascii="Arial" w:hAnsi="Arial" w:eastAsia="Arial" w:cs="Arial"/>
      <w:color w:val="595959" w:themeColor="text1" w:themeTint="A6"/>
    </w:rPr>
  </w:style>
  <w:style w:type="character" w:styleId="858">
    <w:name w:val="Heading 8 Char"/>
    <w:basedOn w:val="849"/>
    <w:link w:val="847"/>
    <w:uiPriority w:val="9"/>
    <w:pPr>
      <w:pBdr/>
      <w:spacing/>
      <w:ind/>
    </w:pPr>
    <w:rPr>
      <w:rFonts w:ascii="Arial" w:hAnsi="Arial" w:eastAsia="Arial" w:cs="Arial"/>
      <w:i/>
      <w:iCs/>
      <w:color w:val="272727" w:themeColor="text1" w:themeTint="D8"/>
    </w:rPr>
  </w:style>
  <w:style w:type="character" w:styleId="859">
    <w:name w:val="Heading 9 Char"/>
    <w:basedOn w:val="849"/>
    <w:link w:val="848"/>
    <w:uiPriority w:val="9"/>
    <w:pPr>
      <w:pBdr/>
      <w:spacing/>
      <w:ind/>
    </w:pPr>
    <w:rPr>
      <w:rFonts w:ascii="Arial" w:hAnsi="Arial" w:eastAsia="Arial" w:cs="Arial"/>
      <w:i/>
      <w:iCs/>
      <w:color w:val="272727" w:themeColor="text1" w:themeTint="D8"/>
    </w:rPr>
  </w:style>
  <w:style w:type="character" w:styleId="860">
    <w:name w:val="Title Char"/>
    <w:basedOn w:val="849"/>
    <w:link w:val="907"/>
    <w:uiPriority w:val="10"/>
    <w:pPr>
      <w:pBdr/>
      <w:spacing/>
      <w:ind/>
    </w:pPr>
    <w:rPr>
      <w:rFonts w:ascii="Arial" w:hAnsi="Arial" w:eastAsia="Arial" w:cs="Arial"/>
      <w:spacing w:val="-10"/>
      <w:sz w:val="56"/>
      <w:szCs w:val="56"/>
    </w:rPr>
  </w:style>
  <w:style w:type="character" w:styleId="861">
    <w:name w:val="Subtitle Char"/>
    <w:basedOn w:val="849"/>
    <w:link w:val="908"/>
    <w:uiPriority w:val="11"/>
    <w:pPr>
      <w:pBdr/>
      <w:spacing/>
      <w:ind/>
    </w:pPr>
    <w:rPr>
      <w:color w:val="595959" w:themeColor="text1" w:themeTint="A6"/>
      <w:spacing w:val="15"/>
      <w:sz w:val="28"/>
      <w:szCs w:val="28"/>
    </w:rPr>
  </w:style>
  <w:style w:type="paragraph" w:styleId="862">
    <w:name w:val="Quote"/>
    <w:basedOn w:val="900"/>
    <w:next w:val="900"/>
    <w:link w:val="863"/>
    <w:uiPriority w:val="29"/>
    <w:qFormat/>
    <w:pPr>
      <w:pBdr/>
      <w:spacing w:before="160"/>
      <w:ind/>
      <w:jc w:val="center"/>
    </w:pPr>
    <w:rPr>
      <w:i/>
      <w:iCs/>
      <w:color w:val="404040" w:themeColor="text1" w:themeTint="BF"/>
    </w:rPr>
  </w:style>
  <w:style w:type="character" w:styleId="863">
    <w:name w:val="Quote Char"/>
    <w:basedOn w:val="849"/>
    <w:link w:val="862"/>
    <w:uiPriority w:val="29"/>
    <w:pPr>
      <w:pBdr/>
      <w:spacing/>
      <w:ind/>
    </w:pPr>
    <w:rPr>
      <w:i/>
      <w:iCs/>
      <w:color w:val="404040" w:themeColor="text1" w:themeTint="BF"/>
    </w:rPr>
  </w:style>
  <w:style w:type="paragraph" w:styleId="864">
    <w:name w:val="List Paragraph"/>
    <w:basedOn w:val="900"/>
    <w:uiPriority w:val="34"/>
    <w:qFormat/>
    <w:pPr>
      <w:pBdr/>
      <w:spacing/>
      <w:ind w:left="720"/>
      <w:contextualSpacing w:val="true"/>
    </w:pPr>
  </w:style>
  <w:style w:type="character" w:styleId="865">
    <w:name w:val="Intense Emphasis"/>
    <w:basedOn w:val="849"/>
    <w:uiPriority w:val="21"/>
    <w:qFormat/>
    <w:pPr>
      <w:pBdr/>
      <w:spacing/>
      <w:ind/>
    </w:pPr>
    <w:rPr>
      <w:i/>
      <w:iCs/>
      <w:color w:val="0f4761" w:themeColor="accent1" w:themeShade="BF"/>
    </w:rPr>
  </w:style>
  <w:style w:type="paragraph" w:styleId="866">
    <w:name w:val="Intense Quote"/>
    <w:basedOn w:val="900"/>
    <w:next w:val="900"/>
    <w:link w:val="867"/>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67">
    <w:name w:val="Intense Quote Char"/>
    <w:basedOn w:val="849"/>
    <w:link w:val="866"/>
    <w:uiPriority w:val="30"/>
    <w:pPr>
      <w:pBdr/>
      <w:spacing/>
      <w:ind/>
    </w:pPr>
    <w:rPr>
      <w:i/>
      <w:iCs/>
      <w:color w:val="0f4761" w:themeColor="accent1" w:themeShade="BF"/>
    </w:rPr>
  </w:style>
  <w:style w:type="character" w:styleId="868">
    <w:name w:val="Intense Reference"/>
    <w:basedOn w:val="849"/>
    <w:uiPriority w:val="32"/>
    <w:qFormat/>
    <w:pPr>
      <w:pBdr/>
      <w:spacing/>
      <w:ind/>
    </w:pPr>
    <w:rPr>
      <w:b/>
      <w:bCs/>
      <w:smallCaps/>
      <w:color w:val="0f4761" w:themeColor="accent1" w:themeShade="BF"/>
      <w:spacing w:val="5"/>
    </w:rPr>
  </w:style>
  <w:style w:type="paragraph" w:styleId="869">
    <w:name w:val="No Spacing"/>
    <w:basedOn w:val="900"/>
    <w:uiPriority w:val="1"/>
    <w:qFormat/>
    <w:pPr>
      <w:pBdr/>
      <w:spacing w:after="0" w:line="240" w:lineRule="auto"/>
      <w:ind/>
    </w:pPr>
  </w:style>
  <w:style w:type="character" w:styleId="870">
    <w:name w:val="Subtle Emphasis"/>
    <w:basedOn w:val="849"/>
    <w:uiPriority w:val="19"/>
    <w:qFormat/>
    <w:pPr>
      <w:pBdr/>
      <w:spacing/>
      <w:ind/>
    </w:pPr>
    <w:rPr>
      <w:i/>
      <w:iCs/>
      <w:color w:val="404040" w:themeColor="text1" w:themeTint="BF"/>
    </w:rPr>
  </w:style>
  <w:style w:type="character" w:styleId="871">
    <w:name w:val="Emphasis"/>
    <w:basedOn w:val="849"/>
    <w:uiPriority w:val="20"/>
    <w:qFormat/>
    <w:pPr>
      <w:pBdr/>
      <w:spacing/>
      <w:ind/>
    </w:pPr>
    <w:rPr>
      <w:i/>
      <w:iCs/>
    </w:rPr>
  </w:style>
  <w:style w:type="character" w:styleId="872">
    <w:name w:val="Strong"/>
    <w:basedOn w:val="849"/>
    <w:uiPriority w:val="22"/>
    <w:qFormat/>
    <w:pPr>
      <w:pBdr/>
      <w:spacing/>
      <w:ind/>
    </w:pPr>
    <w:rPr>
      <w:b/>
      <w:bCs/>
    </w:rPr>
  </w:style>
  <w:style w:type="character" w:styleId="873">
    <w:name w:val="Subtle Reference"/>
    <w:basedOn w:val="849"/>
    <w:uiPriority w:val="31"/>
    <w:qFormat/>
    <w:pPr>
      <w:pBdr/>
      <w:spacing/>
      <w:ind/>
    </w:pPr>
    <w:rPr>
      <w:smallCaps/>
      <w:color w:val="5a5a5a" w:themeColor="text1" w:themeTint="A5"/>
    </w:rPr>
  </w:style>
  <w:style w:type="character" w:styleId="874">
    <w:name w:val="Book Title"/>
    <w:basedOn w:val="849"/>
    <w:uiPriority w:val="33"/>
    <w:qFormat/>
    <w:pPr>
      <w:pBdr/>
      <w:spacing/>
      <w:ind/>
    </w:pPr>
    <w:rPr>
      <w:b/>
      <w:bCs/>
      <w:i/>
      <w:iCs/>
      <w:spacing w:val="5"/>
    </w:rPr>
  </w:style>
  <w:style w:type="paragraph" w:styleId="875">
    <w:name w:val="Header"/>
    <w:basedOn w:val="900"/>
    <w:link w:val="876"/>
    <w:uiPriority w:val="99"/>
    <w:unhideWhenUsed/>
    <w:pPr>
      <w:pBdr/>
      <w:tabs>
        <w:tab w:val="center" w:leader="none" w:pos="4844"/>
        <w:tab w:val="right" w:leader="none" w:pos="9689"/>
      </w:tabs>
      <w:spacing w:after="0" w:line="240" w:lineRule="auto"/>
      <w:ind/>
    </w:pPr>
  </w:style>
  <w:style w:type="character" w:styleId="876">
    <w:name w:val="Header Char"/>
    <w:basedOn w:val="849"/>
    <w:link w:val="875"/>
    <w:uiPriority w:val="99"/>
    <w:pPr>
      <w:pBdr/>
      <w:spacing/>
      <w:ind/>
    </w:pPr>
  </w:style>
  <w:style w:type="paragraph" w:styleId="877">
    <w:name w:val="Footer"/>
    <w:basedOn w:val="900"/>
    <w:link w:val="878"/>
    <w:uiPriority w:val="99"/>
    <w:unhideWhenUsed/>
    <w:pPr>
      <w:pBdr/>
      <w:tabs>
        <w:tab w:val="center" w:leader="none" w:pos="4844"/>
        <w:tab w:val="right" w:leader="none" w:pos="9689"/>
      </w:tabs>
      <w:spacing w:after="0" w:line="240" w:lineRule="auto"/>
      <w:ind/>
    </w:pPr>
  </w:style>
  <w:style w:type="character" w:styleId="878">
    <w:name w:val="Footer Char"/>
    <w:basedOn w:val="849"/>
    <w:link w:val="877"/>
    <w:uiPriority w:val="99"/>
    <w:pPr>
      <w:pBdr/>
      <w:spacing/>
      <w:ind/>
    </w:pPr>
  </w:style>
  <w:style w:type="paragraph" w:styleId="879">
    <w:name w:val="Caption"/>
    <w:basedOn w:val="900"/>
    <w:next w:val="900"/>
    <w:uiPriority w:val="35"/>
    <w:unhideWhenUsed/>
    <w:qFormat/>
    <w:pPr>
      <w:pBdr/>
      <w:spacing w:after="200" w:line="240" w:lineRule="auto"/>
      <w:ind/>
    </w:pPr>
    <w:rPr>
      <w:i/>
      <w:iCs/>
      <w:color w:val="0e2841" w:themeColor="text2"/>
      <w:sz w:val="18"/>
      <w:szCs w:val="18"/>
    </w:rPr>
  </w:style>
  <w:style w:type="paragraph" w:styleId="880">
    <w:name w:val="footnote text"/>
    <w:basedOn w:val="900"/>
    <w:link w:val="881"/>
    <w:uiPriority w:val="99"/>
    <w:semiHidden/>
    <w:unhideWhenUsed/>
    <w:pPr>
      <w:pBdr/>
      <w:spacing w:after="0" w:line="240" w:lineRule="auto"/>
      <w:ind/>
    </w:pPr>
    <w:rPr>
      <w:sz w:val="20"/>
      <w:szCs w:val="20"/>
    </w:rPr>
  </w:style>
  <w:style w:type="character" w:styleId="881">
    <w:name w:val="Footnote Text Char"/>
    <w:basedOn w:val="849"/>
    <w:link w:val="880"/>
    <w:uiPriority w:val="99"/>
    <w:semiHidden/>
    <w:pPr>
      <w:pBdr/>
      <w:spacing/>
      <w:ind/>
    </w:pPr>
    <w:rPr>
      <w:sz w:val="20"/>
      <w:szCs w:val="20"/>
    </w:rPr>
  </w:style>
  <w:style w:type="character" w:styleId="882">
    <w:name w:val="footnote reference"/>
    <w:basedOn w:val="849"/>
    <w:uiPriority w:val="99"/>
    <w:semiHidden/>
    <w:unhideWhenUsed/>
    <w:pPr>
      <w:pBdr/>
      <w:spacing/>
      <w:ind/>
    </w:pPr>
    <w:rPr>
      <w:vertAlign w:val="superscript"/>
    </w:rPr>
  </w:style>
  <w:style w:type="paragraph" w:styleId="883">
    <w:name w:val="endnote text"/>
    <w:basedOn w:val="900"/>
    <w:link w:val="884"/>
    <w:uiPriority w:val="99"/>
    <w:semiHidden/>
    <w:unhideWhenUsed/>
    <w:pPr>
      <w:pBdr/>
      <w:spacing w:after="0" w:line="240" w:lineRule="auto"/>
      <w:ind/>
    </w:pPr>
    <w:rPr>
      <w:sz w:val="20"/>
      <w:szCs w:val="20"/>
    </w:rPr>
  </w:style>
  <w:style w:type="character" w:styleId="884">
    <w:name w:val="Endnote Text Char"/>
    <w:basedOn w:val="849"/>
    <w:link w:val="883"/>
    <w:uiPriority w:val="99"/>
    <w:semiHidden/>
    <w:pPr>
      <w:pBdr/>
      <w:spacing/>
      <w:ind/>
    </w:pPr>
    <w:rPr>
      <w:sz w:val="20"/>
      <w:szCs w:val="20"/>
    </w:rPr>
  </w:style>
  <w:style w:type="character" w:styleId="885">
    <w:name w:val="endnote reference"/>
    <w:basedOn w:val="849"/>
    <w:uiPriority w:val="99"/>
    <w:semiHidden/>
    <w:unhideWhenUsed/>
    <w:pPr>
      <w:pBdr/>
      <w:spacing/>
      <w:ind/>
    </w:pPr>
    <w:rPr>
      <w:vertAlign w:val="superscript"/>
    </w:rPr>
  </w:style>
  <w:style w:type="character" w:styleId="886">
    <w:name w:val="Hyperlink"/>
    <w:basedOn w:val="849"/>
    <w:uiPriority w:val="99"/>
    <w:unhideWhenUsed/>
    <w:pPr>
      <w:pBdr/>
      <w:spacing/>
      <w:ind/>
    </w:pPr>
    <w:rPr>
      <w:color w:val="0563c1" w:themeColor="hyperlink"/>
      <w:u w:val="single"/>
    </w:rPr>
  </w:style>
  <w:style w:type="character" w:styleId="887">
    <w:name w:val="FollowedHyperlink"/>
    <w:basedOn w:val="849"/>
    <w:uiPriority w:val="99"/>
    <w:semiHidden/>
    <w:unhideWhenUsed/>
    <w:pPr>
      <w:pBdr/>
      <w:spacing/>
      <w:ind/>
    </w:pPr>
    <w:rPr>
      <w:color w:val="954f72" w:themeColor="followedHyperlink"/>
      <w:u w:val="single"/>
    </w:rPr>
  </w:style>
  <w:style w:type="paragraph" w:styleId="888">
    <w:name w:val="toc 1"/>
    <w:basedOn w:val="900"/>
    <w:next w:val="900"/>
    <w:uiPriority w:val="39"/>
    <w:unhideWhenUsed/>
    <w:pPr>
      <w:pBdr/>
      <w:spacing w:after="100"/>
      <w:ind/>
    </w:pPr>
  </w:style>
  <w:style w:type="paragraph" w:styleId="889">
    <w:name w:val="toc 2"/>
    <w:basedOn w:val="900"/>
    <w:next w:val="900"/>
    <w:uiPriority w:val="39"/>
    <w:unhideWhenUsed/>
    <w:pPr>
      <w:pBdr/>
      <w:spacing w:after="100"/>
      <w:ind w:left="220"/>
    </w:pPr>
  </w:style>
  <w:style w:type="paragraph" w:styleId="890">
    <w:name w:val="toc 3"/>
    <w:basedOn w:val="900"/>
    <w:next w:val="900"/>
    <w:uiPriority w:val="39"/>
    <w:unhideWhenUsed/>
    <w:pPr>
      <w:pBdr/>
      <w:spacing w:after="100"/>
      <w:ind w:left="440"/>
    </w:pPr>
  </w:style>
  <w:style w:type="paragraph" w:styleId="891">
    <w:name w:val="toc 4"/>
    <w:basedOn w:val="900"/>
    <w:next w:val="900"/>
    <w:uiPriority w:val="39"/>
    <w:unhideWhenUsed/>
    <w:pPr>
      <w:pBdr/>
      <w:spacing w:after="100"/>
      <w:ind w:left="660"/>
    </w:pPr>
  </w:style>
  <w:style w:type="paragraph" w:styleId="892">
    <w:name w:val="toc 5"/>
    <w:basedOn w:val="900"/>
    <w:next w:val="900"/>
    <w:uiPriority w:val="39"/>
    <w:unhideWhenUsed/>
    <w:pPr>
      <w:pBdr/>
      <w:spacing w:after="100"/>
      <w:ind w:left="880"/>
    </w:pPr>
  </w:style>
  <w:style w:type="paragraph" w:styleId="893">
    <w:name w:val="toc 6"/>
    <w:basedOn w:val="900"/>
    <w:next w:val="900"/>
    <w:uiPriority w:val="39"/>
    <w:unhideWhenUsed/>
    <w:pPr>
      <w:pBdr/>
      <w:spacing w:after="100"/>
      <w:ind w:left="1100"/>
    </w:pPr>
  </w:style>
  <w:style w:type="paragraph" w:styleId="894">
    <w:name w:val="toc 7"/>
    <w:basedOn w:val="900"/>
    <w:next w:val="900"/>
    <w:uiPriority w:val="39"/>
    <w:unhideWhenUsed/>
    <w:pPr>
      <w:pBdr/>
      <w:spacing w:after="100"/>
      <w:ind w:left="1320"/>
    </w:pPr>
  </w:style>
  <w:style w:type="paragraph" w:styleId="895">
    <w:name w:val="toc 8"/>
    <w:basedOn w:val="900"/>
    <w:next w:val="900"/>
    <w:uiPriority w:val="39"/>
    <w:unhideWhenUsed/>
    <w:pPr>
      <w:pBdr/>
      <w:spacing w:after="100"/>
      <w:ind w:left="1540"/>
    </w:pPr>
  </w:style>
  <w:style w:type="paragraph" w:styleId="896">
    <w:name w:val="toc 9"/>
    <w:basedOn w:val="900"/>
    <w:next w:val="900"/>
    <w:uiPriority w:val="39"/>
    <w:unhideWhenUsed/>
    <w:pPr>
      <w:pBdr/>
      <w:spacing w:after="100"/>
      <w:ind w:left="1760"/>
    </w:pPr>
  </w:style>
  <w:style w:type="paragraph" w:styleId="897">
    <w:name w:val="TOC Heading"/>
    <w:uiPriority w:val="39"/>
    <w:unhideWhenUsed/>
    <w:pPr>
      <w:pBdr/>
      <w:spacing/>
      <w:ind/>
    </w:pPr>
  </w:style>
  <w:style w:type="paragraph" w:styleId="898">
    <w:name w:val="table of figures"/>
    <w:basedOn w:val="900"/>
    <w:next w:val="900"/>
    <w:uiPriority w:val="99"/>
    <w:unhideWhenUsed/>
    <w:pPr>
      <w:pBdr/>
      <w:spacing w:after="0" w:afterAutospacing="0"/>
      <w:ind/>
    </w:pPr>
  </w:style>
  <w:style w:type="table" w:styleId="899">
    <w:name w:val="TableNormal"/>
    <w:pPr>
      <w:pBdr/>
      <w:spacing/>
      <w:ind/>
    </w:pPr>
    <w:tblPr>
      <w:tblBorders/>
      <w:tblCellMar>
        <w:left w:w="100" w:type="dxa"/>
        <w:top w:w="100" w:type="dxa"/>
        <w:right w:w="100" w:type="dxa"/>
        <w:bottom w:w="10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900" w:default="1">
    <w:name w:val="Normal"/>
    <w:pPr>
      <w:pBdr/>
      <w:spacing/>
      <w:ind/>
    </w:pPr>
  </w:style>
  <w:style w:type="paragraph" w:styleId="901">
    <w:name w:val="Heading 1"/>
    <w:basedOn w:val="900"/>
    <w:next w:val="900"/>
    <w:pPr>
      <w:keepNext w:val="true"/>
      <w:keepLines w:val="true"/>
      <w:pageBreakBefore w:val="false"/>
      <w:pBdr/>
      <w:spacing w:after="120" w:before="480"/>
      <w:ind/>
    </w:pPr>
    <w:rPr>
      <w:b/>
      <w:sz w:val="48"/>
      <w:szCs w:val="48"/>
    </w:rPr>
  </w:style>
  <w:style w:type="paragraph" w:styleId="902">
    <w:name w:val="Heading 2"/>
    <w:basedOn w:val="900"/>
    <w:next w:val="900"/>
    <w:pPr>
      <w:keepNext w:val="true"/>
      <w:keepLines w:val="true"/>
      <w:pageBreakBefore w:val="false"/>
      <w:pBdr/>
      <w:spacing w:after="80" w:before="360"/>
      <w:ind/>
    </w:pPr>
    <w:rPr>
      <w:b/>
      <w:sz w:val="36"/>
      <w:szCs w:val="36"/>
    </w:rPr>
  </w:style>
  <w:style w:type="paragraph" w:styleId="903">
    <w:name w:val="Heading 3"/>
    <w:basedOn w:val="900"/>
    <w:next w:val="900"/>
    <w:pPr>
      <w:keepNext w:val="true"/>
      <w:keepLines w:val="true"/>
      <w:pageBreakBefore w:val="false"/>
      <w:pBdr/>
      <w:spacing w:after="80" w:before="280"/>
      <w:ind/>
    </w:pPr>
    <w:rPr>
      <w:b/>
      <w:sz w:val="28"/>
      <w:szCs w:val="28"/>
    </w:rPr>
  </w:style>
  <w:style w:type="paragraph" w:styleId="904">
    <w:name w:val="Heading 4"/>
    <w:basedOn w:val="900"/>
    <w:next w:val="900"/>
    <w:pPr>
      <w:keepNext w:val="true"/>
      <w:keepLines w:val="true"/>
      <w:pageBreakBefore w:val="false"/>
      <w:pBdr/>
      <w:spacing w:after="40" w:before="240"/>
      <w:ind/>
    </w:pPr>
    <w:rPr>
      <w:b/>
      <w:sz w:val="24"/>
      <w:szCs w:val="24"/>
    </w:rPr>
  </w:style>
  <w:style w:type="paragraph" w:styleId="905">
    <w:name w:val="Heading 5"/>
    <w:basedOn w:val="900"/>
    <w:next w:val="900"/>
    <w:pPr>
      <w:keepNext w:val="true"/>
      <w:keepLines w:val="true"/>
      <w:pageBreakBefore w:val="false"/>
      <w:pBdr/>
      <w:spacing w:after="40" w:before="220"/>
      <w:ind/>
    </w:pPr>
    <w:rPr>
      <w:b/>
      <w:sz w:val="22"/>
      <w:szCs w:val="22"/>
    </w:rPr>
  </w:style>
  <w:style w:type="paragraph" w:styleId="906">
    <w:name w:val="Heading 6"/>
    <w:basedOn w:val="900"/>
    <w:next w:val="900"/>
    <w:pPr>
      <w:keepNext w:val="true"/>
      <w:keepLines w:val="true"/>
      <w:pageBreakBefore w:val="false"/>
      <w:pBdr/>
      <w:spacing w:after="40" w:before="200"/>
      <w:ind/>
    </w:pPr>
    <w:rPr>
      <w:b/>
      <w:sz w:val="20"/>
      <w:szCs w:val="20"/>
    </w:rPr>
  </w:style>
  <w:style w:type="paragraph" w:styleId="907">
    <w:name w:val="Title"/>
    <w:basedOn w:val="900"/>
    <w:next w:val="900"/>
    <w:pPr>
      <w:keepNext w:val="true"/>
      <w:keepLines w:val="true"/>
      <w:pageBreakBefore w:val="false"/>
      <w:pBdr/>
      <w:spacing w:after="120" w:before="480"/>
      <w:ind/>
    </w:pPr>
    <w:rPr>
      <w:b/>
      <w:sz w:val="72"/>
      <w:szCs w:val="72"/>
    </w:rPr>
  </w:style>
  <w:style w:type="paragraph" w:styleId="908">
    <w:name w:val="Subtitle"/>
    <w:basedOn w:val="900"/>
    <w:next w:val="900"/>
    <w:pPr>
      <w:keepNext w:val="true"/>
      <w:keepLines w:val="true"/>
      <w:pageBreakBefore w:val="false"/>
      <w:pBdr/>
      <w:spacing w:after="80" w:before="360"/>
      <w:ind/>
    </w:pPr>
    <w:rPr>
      <w:rFonts w:ascii="Georgia" w:hAnsi="Georgia" w:eastAsia="Georgia" w:cs="Georgia"/>
      <w:i/>
      <w:color w:val="666666"/>
      <w:sz w:val="48"/>
      <w:szCs w:val="48"/>
    </w:rPr>
  </w:style>
  <w:style w:type="table" w:styleId="909">
    <w:name w:val="StGen0"/>
    <w:basedOn w:val="899"/>
    <w:pPr>
      <w:pBdr/>
      <w:spacing w:after="0" w:line="240" w:lineRule="auto"/>
      <w:ind/>
    </w:pPr>
    <w:tblPr>
      <w:tblStyleRowBandSize w:val="1"/>
      <w:tblStyleColBandSize w:val="1"/>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image" Target="media/image1.png"/><Relationship Id="rId10" Type="http://schemas.openxmlformats.org/officeDocument/2006/relationships/comments" Target="comments.xml" /><Relationship Id="rId11" Type="http://schemas.microsoft.com/office/2011/relationships/commentsExtended" Target="commentsExtended.xml" /><Relationship Id="rId12" Type="http://schemas.microsoft.com/office/2016/09/relationships/commentsIds" Target="commentsIds.xml" /><Relationship Id="rId13" Type="http://schemas.onlyoffice.com/commentsDocument" Target="commentsDocument.xml" /><Relationship Id="rId14" Type="http://schemas.onlyoffice.com/commentsExtendedDocument" Target="commentsExtendedDocument.xml" /><Relationship Id="rId15" Type="http://schemas.onlyoffice.com/commentsIdsDocument" Target="commentsIdsDocument.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Application>onlyoffice/8.3.3.18</Application>
  <DocSecurity>0</DocSecurity>
  <ScaleCrop>0</ScaleCrop>
  <HeadingPairs>
    <vt:vector size="0" baseType="variant"/>
  </HeadingPairs>
  <TitlesOfParts>
    <vt:vector size="0" baseType="lpstr"/>
  </TitlesOfParts>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Valentin BOUSSET</cp:lastModifiedBy>
  <cp:revision>1</cp:revision>
  <dcterms:modified xsi:type="dcterms:W3CDTF">2025-10-09T08:32:33Z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lpwstr>false</vt:lpwstr>
  </property>
  <property fmtid="{D5CDD505-2E9C-101B-9397-08002B2CF9AE}" pid="3" name="LinksUpToDate">
    <vt:lpwstr>false</vt:lpwstr>
  </property>
  <property fmtid="{D5CDD505-2E9C-101B-9397-08002B2CF9AE}" pid="4" name="ScaleCrop">
    <vt:lpwstr>false</vt:lpwstr>
  </property>
  <property fmtid="{D5CDD505-2E9C-101B-9397-08002B2CF9AE}" pid="5" name="ShareDoc">
    <vt:lpwstr>false</vt:lpwstr>
  </property>
</Properties>
</file>